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9B01C">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79C3A8A7">
      <w:pPr>
        <w:widowControl/>
        <w:spacing w:line="360" w:lineRule="auto"/>
        <w:jc w:val="center"/>
        <w:rPr>
          <w:rFonts w:asciiTheme="minorHAnsi" w:hAnsiTheme="minorHAnsi" w:eastAsiaTheme="majorEastAsia" w:cstheme="minorHAnsi"/>
          <w:b/>
          <w:kern w:val="0"/>
          <w:sz w:val="32"/>
          <w:szCs w:val="21"/>
        </w:rPr>
      </w:pPr>
    </w:p>
    <w:p w14:paraId="4EF1385C">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 xml:space="preserve">加拿大多伦多大学 </w:t>
      </w:r>
    </w:p>
    <w:p w14:paraId="48ACEACD">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语言文化</w:t>
      </w:r>
      <w:r>
        <w:rPr>
          <w:rFonts w:asciiTheme="minorHAnsi" w:hAnsiTheme="minorHAnsi" w:eastAsiaTheme="majorEastAsia" w:cstheme="minorHAnsi"/>
          <w:b/>
          <w:kern w:val="0"/>
          <w:sz w:val="32"/>
          <w:szCs w:val="21"/>
        </w:rPr>
        <w:t>项目</w:t>
      </w:r>
    </w:p>
    <w:p w14:paraId="7F0662DA">
      <w:pPr>
        <w:widowControl/>
        <w:spacing w:line="360" w:lineRule="auto"/>
        <w:rPr>
          <w:rFonts w:cs="Calibri" w:asciiTheme="minorHAnsi" w:hAnsiTheme="minorHAnsi"/>
          <w:b/>
          <w:kern w:val="0"/>
          <w:szCs w:val="21"/>
        </w:rPr>
      </w:pPr>
    </w:p>
    <w:p w14:paraId="3C88A3D8">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14:paraId="277BC1EC">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bCs/>
          <w:kern w:val="0"/>
          <w:szCs w:val="21"/>
        </w:rPr>
        <w:t>多伦多大学英语语言中心</w:t>
      </w:r>
      <w:r>
        <w:rPr>
          <w:rFonts w:hint="eastAsia" w:asciiTheme="minorHAnsi" w:hAnsiTheme="minorHAnsi" w:eastAsiaTheme="majorEastAsia" w:cstheme="minorHAnsi"/>
          <w:kern w:val="0"/>
          <w:szCs w:val="21"/>
        </w:rPr>
        <w:t>隶属于多伦多大学的继续教育学院(School of Continuing Studies)。学院迄今拥有近50年的丰富教学经验，每年为来自35个国家的上千名学生提供各类优质的英语学习项目，形成了实用科学的教学方法。此外，多伦多作为全球最多元化和宜居的城市之一，也为学生提供了无与伦比的语言学习环境。</w:t>
      </w:r>
    </w:p>
    <w:p w14:paraId="5E1A52AD">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全美国际教育协会作为多伦多大学英语语言学院在中国的正式授权机构，负责选拔优秀中国大学生，于2025年</w:t>
      </w:r>
      <w:r>
        <w:rPr>
          <w:rFonts w:hint="eastAsia" w:asciiTheme="minorHAnsi" w:hAnsiTheme="minorHAnsi" w:eastAsiaTheme="majorEastAsia" w:cstheme="minorHAnsi"/>
          <w:szCs w:val="21"/>
          <w:lang w:val="en-US" w:eastAsia="zh-CN"/>
        </w:rPr>
        <w:t>暑期</w:t>
      </w:r>
      <w:r>
        <w:rPr>
          <w:rFonts w:hint="eastAsia" w:asciiTheme="minorHAnsi" w:hAnsiTheme="minorHAnsi" w:eastAsiaTheme="majorEastAsia" w:cstheme="minorHAnsi"/>
          <w:szCs w:val="21"/>
        </w:rPr>
        <w:t>前往多伦多大学参加为期4周的语言文化项目。参加项目的</w:t>
      </w:r>
      <w:r>
        <w:rPr>
          <w:rFonts w:asciiTheme="minorHAnsi" w:hAnsiTheme="minorHAnsi" w:eastAsiaTheme="majorEastAsia" w:cstheme="minorHAnsi"/>
          <w:kern w:val="0"/>
          <w:szCs w:val="21"/>
        </w:rPr>
        <w:t>学生</w:t>
      </w:r>
      <w:r>
        <w:rPr>
          <w:rFonts w:hint="eastAsia" w:asciiTheme="minorHAnsi" w:hAnsiTheme="minorHAnsi" w:eastAsiaTheme="majorEastAsia" w:cstheme="minorHAnsi"/>
          <w:kern w:val="0"/>
          <w:szCs w:val="21"/>
        </w:rPr>
        <w:t>将</w:t>
      </w:r>
      <w:r>
        <w:rPr>
          <w:rFonts w:hint="eastAsia" w:asciiTheme="minorHAnsi" w:hAnsiTheme="minorHAnsi" w:eastAsiaTheme="majorEastAsia" w:cstheme="minorHAnsi"/>
          <w:szCs w:val="21"/>
        </w:rPr>
        <w:t>与其它参加语言课程的国际学生混班上课，迅速提升自身的英语水平，同时体验加拿大的社会与文化。</w:t>
      </w:r>
    </w:p>
    <w:p w14:paraId="219E8A2E">
      <w:pPr>
        <w:widowControl/>
        <w:spacing w:line="360" w:lineRule="auto"/>
        <w:jc w:val="left"/>
        <w:rPr>
          <w:rFonts w:cs="Arial" w:asciiTheme="minorHAnsi" w:hAnsiTheme="minorHAnsi"/>
          <w:color w:val="333333"/>
          <w:kern w:val="0"/>
          <w:szCs w:val="21"/>
        </w:rPr>
      </w:pPr>
    </w:p>
    <w:p w14:paraId="15E76C2B">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14:paraId="3800BEA5">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【体验北美纯正英语课程】参加加拿大名校的优质语言课程，每周20小时强化学习，有效提升语言技巧；</w:t>
      </w:r>
    </w:p>
    <w:p w14:paraId="26670EE0">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【官方品质保障】学生正式注册，由多大语言中心经验丰富的英语教师参与授课，学生可获得多伦多大学出具的官方正式成绩单；</w:t>
      </w:r>
    </w:p>
    <w:p w14:paraId="50FA083C">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14:paraId="7E40C20D">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【丰富的文化活动体验】丰富多彩的加拿大文化体验，</w:t>
      </w:r>
      <w:r>
        <w:rPr>
          <w:rFonts w:hint="eastAsia" w:asciiTheme="minorHAnsi" w:hAnsiTheme="minorHAnsi" w:eastAsiaTheme="majorEastAsia" w:cstheme="minorHAnsi"/>
          <w:szCs w:val="21"/>
        </w:rPr>
        <w:t>游览尼亚加拉瀑布、参观博物馆、参加各类体育活动</w:t>
      </w:r>
      <w:r>
        <w:rPr>
          <w:rFonts w:hint="eastAsia" w:cs="Calibri" w:asciiTheme="minorHAnsi" w:hAnsiTheme="minorHAnsi"/>
          <w:szCs w:val="21"/>
        </w:rPr>
        <w:t>等。</w:t>
      </w:r>
    </w:p>
    <w:p w14:paraId="6B739D25">
      <w:pPr>
        <w:widowControl/>
        <w:spacing w:line="360" w:lineRule="auto"/>
        <w:jc w:val="left"/>
        <w:rPr>
          <w:rFonts w:cs="Calibri" w:asciiTheme="minorHAnsi" w:hAnsiTheme="minorHAnsi"/>
          <w:szCs w:val="21"/>
        </w:rPr>
      </w:pPr>
    </w:p>
    <w:p w14:paraId="1780A914">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w:t>
      </w:r>
      <w:r>
        <w:rPr>
          <w:rFonts w:asciiTheme="minorHAnsi" w:hAnsiTheme="minorHAnsi" w:eastAsiaTheme="majorEastAsia" w:cstheme="minorHAnsi"/>
          <w:b/>
          <w:bCs/>
          <w:kern w:val="0"/>
          <w:szCs w:val="21"/>
        </w:rPr>
        <w:t>多伦多大学</w:t>
      </w:r>
      <w:r>
        <w:rPr>
          <w:rFonts w:hint="eastAsia" w:asciiTheme="minorHAnsi" w:hAnsiTheme="minorHAnsi" w:eastAsiaTheme="majorEastAsia" w:cstheme="minorHAnsi"/>
          <w:b/>
          <w:bCs/>
          <w:kern w:val="0"/>
          <w:szCs w:val="21"/>
        </w:rPr>
        <w:t>简介</w:t>
      </w:r>
    </w:p>
    <w:p w14:paraId="16F0769B">
      <w:pPr>
        <w:pStyle w:val="20"/>
        <w:widowControl/>
        <w:numPr>
          <w:ilvl w:val="0"/>
          <w:numId w:val="2"/>
        </w:numPr>
        <w:spacing w:line="360" w:lineRule="auto"/>
        <w:ind w:firstLineChars="0"/>
        <w:jc w:val="left"/>
        <w:rPr>
          <w:rFonts w:asciiTheme="minorHAnsi" w:hAnsiTheme="minorHAnsi" w:eastAsiaTheme="majorEastAsia" w:cstheme="minorHAnsi"/>
          <w:szCs w:val="21"/>
        </w:rPr>
      </w:pPr>
      <w:r>
        <w:rPr>
          <w:rFonts w:cs="Arial" w:asciiTheme="minorHAnsi" w:hAnsiTheme="minorHAnsi"/>
          <w:color w:val="333333"/>
          <w:kern w:val="0"/>
          <w:szCs w:val="21"/>
        </w:rPr>
        <w:t>始建于1827年，加拿大顶尖学府，也是世界范围享有盛誉的</w:t>
      </w:r>
      <w:r>
        <w:rPr>
          <w:rFonts w:cs="Arial" w:asciiTheme="minorHAnsi" w:hAnsiTheme="minorHAnsi"/>
          <w:bCs/>
          <w:color w:val="333333"/>
          <w:kern w:val="0"/>
          <w:szCs w:val="21"/>
        </w:rPr>
        <w:t>公立研究性大学</w:t>
      </w:r>
      <w:r>
        <w:rPr>
          <w:rFonts w:hint="eastAsia" w:cs="Arial" w:asciiTheme="minorHAnsi" w:hAnsiTheme="minorHAnsi"/>
          <w:color w:val="333333"/>
          <w:kern w:val="0"/>
          <w:szCs w:val="21"/>
        </w:rPr>
        <w:t>；</w:t>
      </w:r>
    </w:p>
    <w:p w14:paraId="09111BCA">
      <w:pPr>
        <w:pStyle w:val="20"/>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rPr>
        <w:t>20</w:t>
      </w:r>
      <w:r>
        <w:rPr>
          <w:rFonts w:hint="eastAsia" w:asciiTheme="minorHAnsi" w:hAnsiTheme="minorHAnsi"/>
        </w:rPr>
        <w:t>25 QS世界</w:t>
      </w:r>
      <w:r>
        <w:rPr>
          <w:rFonts w:asciiTheme="minorHAnsi" w:hAnsiTheme="minorHAnsi"/>
        </w:rPr>
        <w:t>大学综合排名第</w:t>
      </w:r>
      <w:r>
        <w:rPr>
          <w:rFonts w:hint="eastAsia" w:asciiTheme="minorHAnsi" w:hAnsiTheme="minorHAnsi"/>
        </w:rPr>
        <w:t>25；202</w:t>
      </w:r>
      <w:r>
        <w:rPr>
          <w:rFonts w:hint="eastAsia" w:asciiTheme="minorHAnsi" w:hAnsiTheme="minorHAnsi"/>
          <w:lang w:val="en-US" w:eastAsia="zh-CN"/>
        </w:rPr>
        <w:t>5</w:t>
      </w:r>
      <w:r>
        <w:rPr>
          <w:rFonts w:hint="eastAsia" w:asciiTheme="minorHAnsi" w:hAnsiTheme="minorHAnsi"/>
        </w:rPr>
        <w:t>年Times高等教育世界大学综合排名</w:t>
      </w:r>
      <w:r>
        <w:rPr>
          <w:rFonts w:asciiTheme="minorHAnsi" w:hAnsiTheme="minorHAnsi"/>
        </w:rPr>
        <w:t>第21位</w:t>
      </w:r>
      <w:r>
        <w:rPr>
          <w:rFonts w:hint="eastAsia" w:asciiTheme="minorHAnsi" w:hAnsiTheme="minorHAnsi"/>
        </w:rPr>
        <w:t>。</w:t>
      </w:r>
      <w:r>
        <w:rPr>
          <w:rFonts w:asciiTheme="minorHAnsi" w:hAnsiTheme="minorHAnsi"/>
        </w:rPr>
        <w:t>同时，该校也是</w:t>
      </w:r>
      <w:r>
        <w:rPr>
          <w:rFonts w:cs="Arial" w:asciiTheme="minorHAnsi" w:hAnsiTheme="minorHAnsi"/>
          <w:color w:val="333333"/>
          <w:kern w:val="0"/>
        </w:rPr>
        <w:t>美国大学协会</w:t>
      </w:r>
      <w:r>
        <w:rPr>
          <w:rFonts w:cs="Arial" w:asciiTheme="minorHAnsi" w:hAnsiTheme="minorHAnsi"/>
          <w:color w:val="333333"/>
          <w:kern w:val="0"/>
          <w:szCs w:val="21"/>
        </w:rPr>
        <w:t>（北美大学联盟）中仅有的两所非美国学府之一</w:t>
      </w:r>
      <w:r>
        <w:rPr>
          <w:rFonts w:hint="eastAsia" w:cs="Arial" w:asciiTheme="minorHAnsi" w:hAnsiTheme="minorHAnsi"/>
          <w:color w:val="333333"/>
          <w:kern w:val="0"/>
          <w:szCs w:val="21"/>
        </w:rPr>
        <w:t>；</w:t>
      </w:r>
    </w:p>
    <w:p w14:paraId="0E7F941D">
      <w:pPr>
        <w:pStyle w:val="20"/>
        <w:widowControl/>
        <w:numPr>
          <w:ilvl w:val="0"/>
          <w:numId w:val="2"/>
        </w:numPr>
        <w:spacing w:line="360" w:lineRule="auto"/>
        <w:ind w:firstLineChars="0"/>
        <w:jc w:val="left"/>
        <w:rPr>
          <w:rFonts w:asciiTheme="minorHAnsi" w:hAnsiTheme="minorHAnsi" w:eastAsiaTheme="majorEastAsia" w:cstheme="minorHAnsi"/>
          <w:szCs w:val="21"/>
        </w:rPr>
      </w:pPr>
      <w:r>
        <w:rPr>
          <w:rFonts w:hint="eastAsia" w:cs="Arial" w:asciiTheme="minorHAnsi" w:hAnsiTheme="minorHAnsi"/>
          <w:color w:val="333333"/>
          <w:kern w:val="0"/>
          <w:szCs w:val="21"/>
        </w:rPr>
        <w:t>多伦多是</w:t>
      </w:r>
      <w:r>
        <w:rPr>
          <w:rFonts w:hint="eastAsia" w:ascii="Arial" w:hAnsi="Arial" w:cs="Arial"/>
          <w:color w:val="333333"/>
          <w:kern w:val="0"/>
          <w:szCs w:val="21"/>
        </w:rPr>
        <w:t>加拿大第一大城市与北美第四大城市，也是世界著名的最多元化、最安全宜居的国际化大都市，拥有怡人的环境和高品质的生活。</w:t>
      </w:r>
    </w:p>
    <w:p w14:paraId="205EEC76">
      <w:pPr>
        <w:pStyle w:val="20"/>
        <w:widowControl/>
        <w:spacing w:line="360" w:lineRule="auto"/>
        <w:ind w:left="840" w:firstLine="0" w:firstLineChars="0"/>
        <w:jc w:val="left"/>
        <w:rPr>
          <w:rFonts w:asciiTheme="minorHAnsi" w:hAnsiTheme="minorHAnsi" w:eastAsiaTheme="majorEastAsia" w:cstheme="minorHAnsi"/>
          <w:szCs w:val="21"/>
        </w:rPr>
      </w:pPr>
    </w:p>
    <w:p w14:paraId="0D63E579">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14:paraId="4FEA139D">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2C199968">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202</w:t>
      </w:r>
      <w:r>
        <w:rPr>
          <w:rFonts w:hint="eastAsia" w:asciiTheme="minorHAnsi" w:hAnsiTheme="minorHAnsi" w:eastAsiaTheme="majorEastAsia" w:cstheme="minorHAnsi"/>
          <w:szCs w:val="21"/>
        </w:rPr>
        <w:t>5</w:t>
      </w:r>
      <w:r>
        <w:rPr>
          <w:rFonts w:asciiTheme="minorHAnsi" w:hAnsiTheme="minorHAnsi" w:eastAsiaTheme="majorEastAsia" w:cstheme="minorHAnsi"/>
          <w:szCs w:val="21"/>
        </w:rPr>
        <w:t>年</w:t>
      </w:r>
      <w:r>
        <w:rPr>
          <w:rFonts w:hint="eastAsia" w:asciiTheme="minorHAnsi" w:hAnsiTheme="minorHAnsi" w:eastAsiaTheme="majorEastAsia" w:cstheme="minorHAnsi"/>
          <w:szCs w:val="21"/>
          <w:lang w:val="en-US" w:eastAsia="zh-CN"/>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woUserID w:val="1"/>
        </w:rPr>
        <w:t>7</w:t>
      </w:r>
      <w:r>
        <w:rPr>
          <w:rFonts w:hint="eastAsia" w:asciiTheme="minorHAnsi" w:hAnsiTheme="minorHAnsi" w:eastAsiaTheme="majorEastAsia" w:cstheme="minorHAnsi"/>
          <w:szCs w:val="21"/>
        </w:rPr>
        <w:t xml:space="preserve">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w:t>
      </w:r>
      <w:r>
        <w:rPr>
          <w:rFonts w:hint="eastAsia" w:asciiTheme="minorHAnsi" w:hAnsiTheme="minorHAnsi" w:eastAsiaTheme="majorEastAsia" w:cstheme="minorHAnsi"/>
          <w:szCs w:val="21"/>
          <w:lang w:val="en-US" w:eastAsia="zh-CN"/>
          <w:woUserID w:val="1"/>
        </w:rPr>
        <w:t>7</w:t>
      </w:r>
      <w:r>
        <w:rPr>
          <w:rFonts w:hint="eastAsia"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woUserID w:val="1"/>
        </w:rPr>
        <w:t>31</w:t>
      </w:r>
      <w:r>
        <w:rPr>
          <w:rFonts w:hint="eastAsia" w:asciiTheme="minorHAnsi" w:hAnsiTheme="minorHAnsi" w:eastAsiaTheme="majorEastAsia" w:cstheme="minorHAnsi"/>
          <w:szCs w:val="21"/>
        </w:rPr>
        <w:t>日，或</w:t>
      </w:r>
      <w:r>
        <w:rPr>
          <w:rFonts w:hint="eastAsia" w:asciiTheme="minorHAnsi" w:hAnsiTheme="minorHAnsi" w:eastAsiaTheme="majorEastAsia" w:cstheme="minorHAnsi"/>
          <w:szCs w:val="21"/>
          <w:lang w:val="en-US" w:eastAsia="zh-CN"/>
        </w:rPr>
        <w:t>8</w:t>
      </w:r>
      <w:r>
        <w:rPr>
          <w:rFonts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woUserID w:val="1"/>
        </w:rPr>
        <w:t>5</w:t>
      </w:r>
      <w:r>
        <w:rPr>
          <w:rFonts w:asciiTheme="minorHAnsi" w:hAnsiTheme="minorHAnsi" w:eastAsiaTheme="majorEastAsia" w:cstheme="minorHAnsi"/>
          <w:szCs w:val="21"/>
        </w:rPr>
        <w:t xml:space="preserve">日 – </w:t>
      </w:r>
      <w:r>
        <w:rPr>
          <w:rFonts w:hint="eastAsia" w:asciiTheme="minorHAnsi" w:hAnsiTheme="minorHAnsi" w:eastAsiaTheme="majorEastAsia" w:cstheme="minorHAnsi"/>
          <w:szCs w:val="21"/>
          <w:lang w:val="en-US" w:eastAsia="zh-CN"/>
          <w:woUserID w:val="1"/>
        </w:rPr>
        <w:t>8</w:t>
      </w:r>
      <w:r>
        <w:rPr>
          <w:rFonts w:asciiTheme="minorHAnsi" w:hAnsiTheme="minorHAnsi" w:eastAsiaTheme="majorEastAsia" w:cstheme="minorHAnsi"/>
          <w:szCs w:val="21"/>
        </w:rPr>
        <w:t>月</w:t>
      </w:r>
      <w:r>
        <w:rPr>
          <w:rFonts w:hint="eastAsia" w:asciiTheme="minorHAnsi" w:hAnsiTheme="minorHAnsi" w:eastAsiaTheme="majorEastAsia" w:cstheme="minorHAnsi"/>
          <w:szCs w:val="21"/>
          <w:lang w:val="en-US" w:eastAsia="zh-CN"/>
          <w:woUserID w:val="1"/>
        </w:rPr>
        <w:t>29</w:t>
      </w:r>
      <w:r>
        <w:rPr>
          <w:rFonts w:asciiTheme="minorHAnsi" w:hAnsiTheme="minorHAnsi" w:eastAsiaTheme="majorEastAsia" w:cstheme="minorHAnsi"/>
          <w:szCs w:val="21"/>
        </w:rPr>
        <w:t>日</w:t>
      </w:r>
      <w:r>
        <w:rPr>
          <w:rFonts w:hint="eastAsia" w:cs="Arial" w:asciiTheme="minorHAnsi" w:hAnsiTheme="minorHAnsi"/>
          <w:color w:val="333333"/>
          <w:kern w:val="0"/>
          <w:szCs w:val="21"/>
        </w:rPr>
        <w:t>（4周）</w:t>
      </w:r>
      <w:r>
        <w:rPr>
          <w:rFonts w:cs="Arial" w:asciiTheme="minorHAnsi" w:hAnsiTheme="minorHAnsi"/>
          <w:color w:val="333333"/>
          <w:kern w:val="0"/>
          <w:szCs w:val="21"/>
        </w:rPr>
        <w:t xml:space="preserve">   </w:t>
      </w:r>
      <w:r>
        <w:rPr>
          <w:rFonts w:asciiTheme="minorHAnsi" w:hAnsiTheme="minorHAnsi" w:eastAsiaTheme="majorEastAsia" w:cstheme="minorHAnsi"/>
          <w:b/>
          <w:bCs/>
          <w:kern w:val="0"/>
          <w:szCs w:val="21"/>
        </w:rPr>
        <w:br w:type="textWrapping"/>
      </w:r>
    </w:p>
    <w:p w14:paraId="10152596">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63E1348D">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参加多伦多大学</w:t>
      </w:r>
      <w:r>
        <w:rPr>
          <w:rFonts w:hint="eastAsia" w:asciiTheme="minorHAnsi" w:hAnsiTheme="minorHAnsi" w:eastAsiaTheme="majorEastAsia" w:cstheme="minorHAnsi"/>
          <w:kern w:val="0"/>
          <w:szCs w:val="21"/>
        </w:rPr>
        <w:t>暑期</w:t>
      </w:r>
      <w:r>
        <w:rPr>
          <w:rFonts w:asciiTheme="minorHAnsi" w:hAnsiTheme="minorHAnsi" w:eastAsiaTheme="majorEastAsia" w:cstheme="minorHAnsi"/>
          <w:kern w:val="0"/>
          <w:szCs w:val="21"/>
        </w:rPr>
        <w:t>语言项目的学生</w:t>
      </w:r>
      <w:r>
        <w:rPr>
          <w:rFonts w:asciiTheme="minorHAnsi" w:hAnsiTheme="minorHAnsi" w:eastAsiaTheme="majorEastAsia" w:cstheme="minorHAnsi"/>
          <w:szCs w:val="21"/>
        </w:rPr>
        <w:t>可选报</w:t>
      </w:r>
      <w:r>
        <w:rPr>
          <w:rFonts w:hint="eastAsia" w:asciiTheme="minorHAnsi" w:hAnsiTheme="minorHAnsi" w:eastAsiaTheme="majorEastAsia" w:cstheme="minorHAnsi"/>
          <w:szCs w:val="21"/>
        </w:rPr>
        <w:t>“高效沟通英语”课程（English for Effective Communication），或“商务沟通英语”课程（E</w:t>
      </w:r>
      <w:r>
        <w:rPr>
          <w:rFonts w:asciiTheme="minorHAnsi" w:hAnsiTheme="minorHAnsi" w:eastAsiaTheme="majorEastAsia" w:cstheme="minorHAnsi"/>
          <w:szCs w:val="21"/>
        </w:rPr>
        <w:t>nglish for Business Communication</w:t>
      </w:r>
      <w:r>
        <w:rPr>
          <w:rFonts w:hint="eastAsia" w:asciiTheme="minorHAnsi" w:hAnsiTheme="minorHAnsi" w:eastAsiaTheme="majorEastAsia" w:cstheme="minorHAnsi"/>
          <w:szCs w:val="21"/>
        </w:rPr>
        <w:t>）。</w:t>
      </w:r>
    </w:p>
    <w:p w14:paraId="6B943EF1">
      <w:pPr>
        <w:spacing w:line="360" w:lineRule="auto"/>
        <w:ind w:firstLine="422" w:firstLineChars="200"/>
        <w:rPr>
          <w:rFonts w:asciiTheme="minorHAnsi" w:hAnsiTheme="minorHAnsi" w:eastAsiaTheme="majorEastAsia" w:cstheme="minorHAnsi"/>
          <w:b/>
          <w:bCs/>
          <w:szCs w:val="21"/>
          <w:u w:val="single"/>
        </w:rPr>
      </w:pPr>
      <w:r>
        <w:rPr>
          <w:rFonts w:hint="eastAsia" w:asciiTheme="minorHAnsi" w:hAnsiTheme="minorHAnsi" w:eastAsiaTheme="majorEastAsia" w:cstheme="minorHAnsi"/>
          <w:b/>
          <w:bCs/>
          <w:szCs w:val="21"/>
          <w:u w:val="single"/>
        </w:rPr>
        <w:t>高效沟通英语</w:t>
      </w:r>
    </w:p>
    <w:p w14:paraId="0D737C58">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课程旨在提升学生的日常英语沟通能力，适合初级至高级各级别的学生。课程通过基于主题的任务或教学活动，综合提升学生的听说读写各项技巧，主要内容包括：</w:t>
      </w:r>
    </w:p>
    <w:p w14:paraId="75EB43DD">
      <w:pPr>
        <w:pStyle w:val="20"/>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提升口语表达的流畅度、精准度与自信心</w:t>
      </w:r>
    </w:p>
    <w:p w14:paraId="7DFAA833">
      <w:pPr>
        <w:pStyle w:val="20"/>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通过参加教学任务与小组讨论，扩展词汇储备</w:t>
      </w:r>
    </w:p>
    <w:p w14:paraId="0579336A">
      <w:pPr>
        <w:pStyle w:val="20"/>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通过与教师以及世界各地同学的沟通互动，提高听力理解与口语技巧</w:t>
      </w:r>
    </w:p>
    <w:p w14:paraId="06206ABC">
      <w:pPr>
        <w:pStyle w:val="20"/>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了解加拿大与北美的文化</w:t>
      </w:r>
    </w:p>
    <w:p w14:paraId="47CFA93F">
      <w:pPr>
        <w:spacing w:line="360" w:lineRule="auto"/>
        <w:ind w:left="420"/>
        <w:rPr>
          <w:rFonts w:asciiTheme="minorHAnsi" w:hAnsiTheme="minorHAnsi" w:eastAsiaTheme="majorEastAsia" w:cstheme="minorHAnsi"/>
          <w:szCs w:val="21"/>
        </w:rPr>
      </w:pPr>
      <w:r>
        <w:rPr>
          <w:rFonts w:hint="eastAsia" w:asciiTheme="minorHAnsi" w:hAnsiTheme="minorHAnsi" w:eastAsiaTheme="majorEastAsia" w:cstheme="minorHAnsi"/>
          <w:szCs w:val="21"/>
        </w:rPr>
        <w:t>授课老师会根据学生的实际水平，来安排有针对性的课堂教学活动，比如参与小组讨论、</w:t>
      </w:r>
    </w:p>
    <w:p w14:paraId="53554F8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设计调查问卷、在线收看视频并参加小测试、在线的口语会话测试等。通过不同形式的任务，学生将建立有效使用英语沟通的自信，尤其是提高英语听说技能。</w:t>
      </w:r>
    </w:p>
    <w:p w14:paraId="7DC3AB8D">
      <w:pPr>
        <w:spacing w:line="360" w:lineRule="auto"/>
        <w:ind w:firstLine="420" w:firstLineChars="200"/>
        <w:rPr>
          <w:rFonts w:asciiTheme="minorHAnsi" w:hAnsiTheme="minorHAnsi" w:eastAsiaTheme="majorEastAsia" w:cstheme="minorHAnsi"/>
          <w:szCs w:val="21"/>
        </w:rPr>
      </w:pPr>
    </w:p>
    <w:p w14:paraId="0C2D016C">
      <w:pPr>
        <w:spacing w:line="360" w:lineRule="auto"/>
        <w:ind w:firstLine="422" w:firstLineChars="200"/>
        <w:rPr>
          <w:rFonts w:asciiTheme="minorHAnsi" w:hAnsiTheme="minorHAnsi" w:eastAsiaTheme="majorEastAsia" w:cstheme="minorHAnsi"/>
          <w:b/>
          <w:bCs/>
          <w:szCs w:val="21"/>
          <w:u w:val="single"/>
        </w:rPr>
      </w:pPr>
      <w:r>
        <w:rPr>
          <w:rFonts w:hint="eastAsia" w:asciiTheme="minorHAnsi" w:hAnsiTheme="minorHAnsi" w:eastAsiaTheme="majorEastAsia" w:cstheme="minorHAnsi"/>
          <w:b/>
          <w:bCs/>
          <w:szCs w:val="21"/>
          <w:u w:val="single"/>
        </w:rPr>
        <w:t>商务沟通英语</w:t>
      </w:r>
    </w:p>
    <w:p w14:paraId="2D8D665B">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课程旨在提升学生在国际商务环境中有效使用英语所需的语言和技能。 学生将通过参与与国际商业环境相关的教学任务和情境，提高阅读、写作、听力和口语技能，从而加强使用英语进行商务沟通的能力和信心。课程主要内容包括：</w:t>
      </w:r>
    </w:p>
    <w:p w14:paraId="25D41D41">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培养在职业环境中通过口语和写作进行沟通的技能和策略</w:t>
      </w:r>
    </w:p>
    <w:p w14:paraId="035C6B6A">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提高阅读和聆听与商务主题相关的文本的熟练程度</w:t>
      </w:r>
    </w:p>
    <w:p w14:paraId="3922A7E4">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运用听说技巧与来自不同语言背景的人互动</w:t>
      </w:r>
    </w:p>
    <w:p w14:paraId="1E2DB767">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提升公众演讲的自信心</w:t>
      </w:r>
    </w:p>
    <w:p w14:paraId="1E686C3A">
      <w:pPr>
        <w:pStyle w:val="20"/>
        <w:numPr>
          <w:ilvl w:val="0"/>
          <w:numId w:val="4"/>
        </w:numPr>
        <w:spacing w:line="360" w:lineRule="auto"/>
        <w:ind w:firstLineChars="0"/>
        <w:rPr>
          <w:rFonts w:cs="Calibri" w:asciiTheme="minorHAnsi" w:hAnsiTheme="minorHAnsi"/>
          <w:sz w:val="22"/>
          <w:szCs w:val="22"/>
        </w:rPr>
      </w:pPr>
      <w:r>
        <w:rPr>
          <w:rFonts w:hint="eastAsia" w:asciiTheme="minorHAnsi" w:hAnsiTheme="minorHAnsi" w:eastAsiaTheme="majorEastAsia" w:cstheme="minorHAnsi"/>
          <w:szCs w:val="21"/>
        </w:rPr>
        <w:t>展示出与职业环境相匹配的语言意识</w:t>
      </w:r>
    </w:p>
    <w:p w14:paraId="14770C90">
      <w:pPr>
        <w:spacing w:line="360" w:lineRule="auto"/>
        <w:rPr>
          <w:rFonts w:cs="Calibri" w:asciiTheme="minorHAnsi" w:hAnsiTheme="minorHAnsi"/>
          <w:sz w:val="22"/>
          <w:szCs w:val="22"/>
        </w:rPr>
      </w:pPr>
    </w:p>
    <w:p w14:paraId="41ED9D32">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p>
    <w:p w14:paraId="4BBAB00C">
      <w:pPr>
        <w:widowControl/>
        <w:spacing w:line="360" w:lineRule="auto"/>
        <w:jc w:val="left"/>
        <w:rPr>
          <w:rFonts w:asciiTheme="minorHAnsi" w:hAnsiTheme="minorHAnsi" w:eastAsiaTheme="majorEastAsia" w:cstheme="minorHAnsi"/>
          <w:szCs w:val="21"/>
        </w:rPr>
      </w:pPr>
      <w:r>
        <w:rPr>
          <w:rFonts w:hint="eastAsia" w:cs="Calibri" w:asciiTheme="minorHAnsi" w:hAnsiTheme="minorHAnsi"/>
          <w:szCs w:val="21"/>
        </w:rPr>
        <w:t xml:space="preserve"> </w:t>
      </w:r>
      <w:r>
        <w:rPr>
          <w:rFonts w:cs="Calibri" w:asciiTheme="minorHAnsi" w:hAnsiTheme="minorHAnsi"/>
          <w:szCs w:val="21"/>
        </w:rPr>
        <w:t xml:space="preserve">   </w:t>
      </w:r>
      <w:r>
        <w:rPr>
          <w:rFonts w:hint="eastAsia" w:cs="Calibri" w:asciiTheme="minorHAnsi" w:hAnsiTheme="minorHAnsi"/>
          <w:szCs w:val="21"/>
        </w:rPr>
        <w:t>以下为高效沟通英语的参考课程安排，具体课程内容因不同语言级别而存在差异，需以实际安排为准。</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5386"/>
      </w:tblGrid>
      <w:tr w14:paraId="1A6D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FD0FCCB">
            <w:pPr>
              <w:spacing w:line="360" w:lineRule="auto"/>
              <w:rPr>
                <w:rFonts w:cs="Calibri" w:asciiTheme="minorHAnsi" w:hAnsiTheme="minorHAnsi"/>
                <w:b/>
                <w:bCs/>
                <w:szCs w:val="21"/>
              </w:rPr>
            </w:pPr>
            <w:r>
              <w:rPr>
                <w:rFonts w:hint="eastAsia" w:cs="Calibri" w:asciiTheme="minorHAnsi" w:hAnsiTheme="minorHAnsi"/>
                <w:b/>
                <w:bCs/>
                <w:szCs w:val="21"/>
              </w:rPr>
              <w:t>第一周</w:t>
            </w:r>
          </w:p>
        </w:tc>
        <w:tc>
          <w:tcPr>
            <w:tcW w:w="5386" w:type="dxa"/>
          </w:tcPr>
          <w:p w14:paraId="4DD7463E">
            <w:pPr>
              <w:spacing w:line="360" w:lineRule="auto"/>
              <w:rPr>
                <w:rFonts w:cs="Calibri" w:asciiTheme="minorHAnsi" w:hAnsiTheme="minorHAnsi"/>
                <w:szCs w:val="21"/>
              </w:rPr>
            </w:pPr>
          </w:p>
        </w:tc>
      </w:tr>
      <w:tr w14:paraId="01CC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B8DBA6C">
            <w:pPr>
              <w:spacing w:line="360" w:lineRule="auto"/>
              <w:rPr>
                <w:rFonts w:cs="Calibri" w:asciiTheme="minorHAnsi" w:hAnsiTheme="minorHAnsi"/>
                <w:szCs w:val="21"/>
              </w:rPr>
            </w:pPr>
            <w:r>
              <w:rPr>
                <w:rFonts w:hint="eastAsia" w:cs="Calibri" w:asciiTheme="minorHAnsi" w:hAnsiTheme="minorHAnsi"/>
                <w:szCs w:val="21"/>
              </w:rPr>
              <w:t>模块一：项目启动</w:t>
            </w:r>
          </w:p>
        </w:tc>
        <w:tc>
          <w:tcPr>
            <w:tcW w:w="5386" w:type="dxa"/>
          </w:tcPr>
          <w:p w14:paraId="5FAB1A8D">
            <w:pPr>
              <w:pStyle w:val="20"/>
              <w:numPr>
                <w:ilvl w:val="0"/>
                <w:numId w:val="5"/>
              </w:numPr>
              <w:spacing w:line="360" w:lineRule="auto"/>
              <w:ind w:firstLineChars="0"/>
              <w:rPr>
                <w:rFonts w:cs="Calibri" w:asciiTheme="minorHAnsi" w:hAnsiTheme="minorHAnsi"/>
                <w:szCs w:val="21"/>
              </w:rPr>
            </w:pPr>
            <w:r>
              <w:rPr>
                <w:rFonts w:hint="eastAsia" w:cs="Calibri" w:asciiTheme="minorHAnsi" w:hAnsiTheme="minorHAnsi"/>
                <w:szCs w:val="21"/>
              </w:rPr>
              <w:t>学习需求分析/互动式介绍环节</w:t>
            </w:r>
          </w:p>
          <w:p w14:paraId="00B81D03">
            <w:pPr>
              <w:pStyle w:val="20"/>
              <w:numPr>
                <w:ilvl w:val="0"/>
                <w:numId w:val="5"/>
              </w:numPr>
              <w:spacing w:line="360" w:lineRule="auto"/>
              <w:ind w:firstLineChars="0"/>
              <w:rPr>
                <w:rFonts w:cs="Calibri" w:asciiTheme="minorHAnsi" w:hAnsiTheme="minorHAnsi"/>
                <w:szCs w:val="21"/>
              </w:rPr>
            </w:pPr>
            <w:r>
              <w:rPr>
                <w:rFonts w:hint="eastAsia" w:cs="Calibri" w:asciiTheme="minorHAnsi" w:hAnsiTheme="minorHAnsi"/>
                <w:szCs w:val="21"/>
              </w:rPr>
              <w:t>不同目标的电子邮件撰写技巧</w:t>
            </w:r>
          </w:p>
          <w:p w14:paraId="7B03270F">
            <w:pPr>
              <w:pStyle w:val="20"/>
              <w:numPr>
                <w:ilvl w:val="0"/>
                <w:numId w:val="5"/>
              </w:numPr>
              <w:spacing w:line="360" w:lineRule="auto"/>
              <w:ind w:firstLineChars="0"/>
              <w:rPr>
                <w:rFonts w:cs="Calibri" w:asciiTheme="minorHAnsi" w:hAnsiTheme="minorHAnsi"/>
                <w:szCs w:val="21"/>
              </w:rPr>
            </w:pPr>
            <w:r>
              <w:rPr>
                <w:rFonts w:hint="eastAsia" w:cs="Calibri" w:asciiTheme="minorHAnsi" w:hAnsiTheme="minorHAnsi"/>
                <w:szCs w:val="21"/>
              </w:rPr>
              <w:t>邮件沟通的语调与语域</w:t>
            </w:r>
          </w:p>
          <w:p w14:paraId="577A133E">
            <w:pPr>
              <w:pStyle w:val="20"/>
              <w:numPr>
                <w:ilvl w:val="0"/>
                <w:numId w:val="5"/>
              </w:numPr>
              <w:spacing w:line="360" w:lineRule="auto"/>
              <w:ind w:firstLineChars="0"/>
              <w:rPr>
                <w:rFonts w:cs="Calibri" w:asciiTheme="minorHAnsi" w:hAnsiTheme="minorHAnsi"/>
                <w:szCs w:val="21"/>
              </w:rPr>
            </w:pPr>
            <w:r>
              <w:rPr>
                <w:rFonts w:hint="eastAsia" w:cs="Calibri" w:asciiTheme="minorHAnsi" w:hAnsiTheme="minorHAnsi"/>
                <w:szCs w:val="21"/>
              </w:rPr>
              <w:t>如何在会话中避免模式化套话</w:t>
            </w:r>
          </w:p>
        </w:tc>
      </w:tr>
      <w:tr w14:paraId="63DE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BC5B05B">
            <w:pPr>
              <w:spacing w:line="360" w:lineRule="auto"/>
              <w:rPr>
                <w:rFonts w:cs="Calibri" w:asciiTheme="minorHAnsi" w:hAnsiTheme="minorHAnsi"/>
                <w:szCs w:val="21"/>
              </w:rPr>
            </w:pPr>
            <w:r>
              <w:rPr>
                <w:rFonts w:hint="eastAsia" w:cs="Calibri" w:asciiTheme="minorHAnsi" w:hAnsiTheme="minorHAnsi"/>
                <w:szCs w:val="21"/>
              </w:rPr>
              <w:t>模块二：探索文化</w:t>
            </w:r>
          </w:p>
        </w:tc>
        <w:tc>
          <w:tcPr>
            <w:tcW w:w="5386" w:type="dxa"/>
          </w:tcPr>
          <w:p w14:paraId="1B074F8E">
            <w:pPr>
              <w:pStyle w:val="20"/>
              <w:numPr>
                <w:ilvl w:val="0"/>
                <w:numId w:val="6"/>
              </w:numPr>
              <w:spacing w:line="360" w:lineRule="auto"/>
              <w:ind w:firstLineChars="0"/>
              <w:rPr>
                <w:rFonts w:cs="Calibri" w:asciiTheme="minorHAnsi" w:hAnsiTheme="minorHAnsi"/>
                <w:szCs w:val="21"/>
              </w:rPr>
            </w:pPr>
            <w:r>
              <w:rPr>
                <w:rFonts w:hint="eastAsia" w:cs="Calibri" w:asciiTheme="minorHAnsi" w:hAnsiTheme="minorHAnsi"/>
                <w:szCs w:val="21"/>
              </w:rPr>
              <w:t xml:space="preserve">如何定义文化冲突 </w:t>
            </w:r>
            <w:r>
              <w:rPr>
                <w:rFonts w:cs="Calibri" w:asciiTheme="minorHAnsi" w:hAnsiTheme="minorHAnsi"/>
                <w:szCs w:val="21"/>
              </w:rPr>
              <w:t xml:space="preserve">– </w:t>
            </w:r>
            <w:r>
              <w:rPr>
                <w:rFonts w:hint="eastAsia" w:cs="Calibri" w:asciiTheme="minorHAnsi" w:hAnsiTheme="minorHAnsi"/>
                <w:szCs w:val="21"/>
              </w:rPr>
              <w:t>阅读练习</w:t>
            </w:r>
          </w:p>
          <w:p w14:paraId="4234B309">
            <w:pPr>
              <w:pStyle w:val="20"/>
              <w:numPr>
                <w:ilvl w:val="0"/>
                <w:numId w:val="6"/>
              </w:numPr>
              <w:spacing w:line="360" w:lineRule="auto"/>
              <w:ind w:firstLineChars="0"/>
              <w:rPr>
                <w:rFonts w:cs="Calibri" w:asciiTheme="minorHAnsi" w:hAnsiTheme="minorHAnsi"/>
                <w:szCs w:val="21"/>
              </w:rPr>
            </w:pPr>
            <w:r>
              <w:rPr>
                <w:rFonts w:hint="eastAsia" w:cs="Calibri" w:asciiTheme="minorHAnsi" w:hAnsiTheme="minorHAnsi"/>
                <w:szCs w:val="21"/>
              </w:rPr>
              <w:t>根据阅读材料进行口头汇报</w:t>
            </w:r>
          </w:p>
          <w:p w14:paraId="2156E525">
            <w:pPr>
              <w:pStyle w:val="20"/>
              <w:numPr>
                <w:ilvl w:val="0"/>
                <w:numId w:val="6"/>
              </w:numPr>
              <w:spacing w:line="360" w:lineRule="auto"/>
              <w:ind w:firstLineChars="0"/>
              <w:rPr>
                <w:rFonts w:cs="Calibri" w:asciiTheme="minorHAnsi" w:hAnsiTheme="minorHAnsi"/>
                <w:szCs w:val="21"/>
              </w:rPr>
            </w:pPr>
            <w:r>
              <w:rPr>
                <w:rFonts w:hint="eastAsia" w:cs="Calibri" w:asciiTheme="minorHAnsi" w:hAnsiTheme="minorHAnsi"/>
                <w:szCs w:val="21"/>
              </w:rPr>
              <w:t>在不同场景中提供建议</w:t>
            </w:r>
          </w:p>
        </w:tc>
      </w:tr>
      <w:tr w14:paraId="05D0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0BED8E1">
            <w:pPr>
              <w:spacing w:line="360" w:lineRule="auto"/>
              <w:rPr>
                <w:rFonts w:cs="Calibri" w:asciiTheme="minorHAnsi" w:hAnsiTheme="minorHAnsi"/>
                <w:szCs w:val="21"/>
              </w:rPr>
            </w:pPr>
            <w:r>
              <w:rPr>
                <w:rFonts w:hint="eastAsia" w:cs="Calibri" w:asciiTheme="minorHAnsi" w:hAnsiTheme="minorHAnsi"/>
                <w:b/>
                <w:bCs/>
                <w:szCs w:val="21"/>
              </w:rPr>
              <w:t>第二周</w:t>
            </w:r>
          </w:p>
        </w:tc>
        <w:tc>
          <w:tcPr>
            <w:tcW w:w="5386" w:type="dxa"/>
          </w:tcPr>
          <w:p w14:paraId="6F35995D">
            <w:pPr>
              <w:spacing w:line="360" w:lineRule="auto"/>
              <w:rPr>
                <w:rFonts w:cs="Calibri" w:asciiTheme="minorHAnsi" w:hAnsiTheme="minorHAnsi"/>
                <w:szCs w:val="21"/>
              </w:rPr>
            </w:pPr>
          </w:p>
        </w:tc>
      </w:tr>
      <w:tr w14:paraId="0542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55535D7">
            <w:pPr>
              <w:spacing w:line="360" w:lineRule="auto"/>
              <w:rPr>
                <w:rFonts w:cs="Calibri" w:asciiTheme="minorHAnsi" w:hAnsiTheme="minorHAnsi"/>
                <w:szCs w:val="21"/>
              </w:rPr>
            </w:pPr>
            <w:r>
              <w:rPr>
                <w:rFonts w:hint="eastAsia" w:cs="Calibri" w:asciiTheme="minorHAnsi" w:hAnsiTheme="minorHAnsi"/>
                <w:szCs w:val="21"/>
              </w:rPr>
              <w:t>模块二：探索文化</w:t>
            </w:r>
          </w:p>
        </w:tc>
        <w:tc>
          <w:tcPr>
            <w:tcW w:w="5386" w:type="dxa"/>
          </w:tcPr>
          <w:p w14:paraId="1C253C24">
            <w:pPr>
              <w:pStyle w:val="20"/>
              <w:numPr>
                <w:ilvl w:val="0"/>
                <w:numId w:val="7"/>
              </w:numPr>
              <w:spacing w:line="360" w:lineRule="auto"/>
              <w:ind w:firstLineChars="0"/>
              <w:rPr>
                <w:rFonts w:cs="Calibri" w:asciiTheme="minorHAnsi" w:hAnsiTheme="minorHAnsi"/>
                <w:szCs w:val="21"/>
              </w:rPr>
            </w:pPr>
            <w:r>
              <w:rPr>
                <w:rFonts w:hint="eastAsia" w:cs="Calibri" w:asciiTheme="minorHAnsi" w:hAnsiTheme="minorHAnsi"/>
                <w:szCs w:val="21"/>
              </w:rPr>
              <w:t>针对加拿大文化的实践性研究</w:t>
            </w:r>
          </w:p>
          <w:p w14:paraId="6F79769E">
            <w:pPr>
              <w:pStyle w:val="20"/>
              <w:numPr>
                <w:ilvl w:val="0"/>
                <w:numId w:val="7"/>
              </w:numPr>
              <w:spacing w:line="360" w:lineRule="auto"/>
              <w:ind w:firstLineChars="0"/>
              <w:rPr>
                <w:rFonts w:cs="Calibri" w:asciiTheme="minorHAnsi" w:hAnsiTheme="minorHAnsi"/>
                <w:szCs w:val="21"/>
              </w:rPr>
            </w:pPr>
            <w:r>
              <w:rPr>
                <w:rFonts w:hint="eastAsia" w:cs="Calibri" w:asciiTheme="minorHAnsi" w:hAnsiTheme="minorHAnsi"/>
                <w:szCs w:val="21"/>
              </w:rPr>
              <w:t>参与有关文化实践的小组研讨</w:t>
            </w:r>
          </w:p>
          <w:p w14:paraId="53A5C56C">
            <w:pPr>
              <w:pStyle w:val="20"/>
              <w:numPr>
                <w:ilvl w:val="0"/>
                <w:numId w:val="7"/>
              </w:numPr>
              <w:spacing w:line="360" w:lineRule="auto"/>
              <w:ind w:firstLineChars="0"/>
              <w:rPr>
                <w:rFonts w:cs="Calibri" w:asciiTheme="minorHAnsi" w:hAnsiTheme="minorHAnsi"/>
                <w:szCs w:val="21"/>
              </w:rPr>
            </w:pPr>
            <w:r>
              <w:rPr>
                <w:rFonts w:hint="eastAsia" w:cs="Calibri" w:asciiTheme="minorHAnsi" w:hAnsiTheme="minorHAnsi"/>
                <w:szCs w:val="21"/>
              </w:rPr>
              <w:t>如何运用情态动词、模糊语与条件从句</w:t>
            </w:r>
          </w:p>
        </w:tc>
      </w:tr>
      <w:tr w14:paraId="12E0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9C11513">
            <w:pPr>
              <w:spacing w:line="360" w:lineRule="auto"/>
              <w:rPr>
                <w:rFonts w:cs="Calibri" w:asciiTheme="minorHAnsi" w:hAnsiTheme="minorHAnsi"/>
                <w:szCs w:val="21"/>
              </w:rPr>
            </w:pPr>
            <w:r>
              <w:rPr>
                <w:rFonts w:hint="eastAsia" w:cs="Calibri" w:asciiTheme="minorHAnsi" w:hAnsiTheme="minorHAnsi"/>
                <w:szCs w:val="21"/>
              </w:rPr>
              <w:t>模块三：产品，发明与推广</w:t>
            </w:r>
          </w:p>
        </w:tc>
        <w:tc>
          <w:tcPr>
            <w:tcW w:w="5386" w:type="dxa"/>
          </w:tcPr>
          <w:p w14:paraId="3B70D883">
            <w:pPr>
              <w:pStyle w:val="20"/>
              <w:numPr>
                <w:ilvl w:val="0"/>
                <w:numId w:val="8"/>
              </w:numPr>
              <w:spacing w:line="360" w:lineRule="auto"/>
              <w:ind w:firstLineChars="0"/>
              <w:rPr>
                <w:rFonts w:cs="Calibri" w:asciiTheme="minorHAnsi" w:hAnsiTheme="minorHAnsi"/>
                <w:szCs w:val="21"/>
              </w:rPr>
            </w:pPr>
            <w:r>
              <w:rPr>
                <w:rFonts w:hint="eastAsia" w:cs="Calibri" w:asciiTheme="minorHAnsi" w:hAnsiTheme="minorHAnsi"/>
                <w:szCs w:val="21"/>
              </w:rPr>
              <w:t>开展基于学生访谈的市场调研</w:t>
            </w:r>
          </w:p>
          <w:p w14:paraId="62CCFDEE">
            <w:pPr>
              <w:pStyle w:val="20"/>
              <w:numPr>
                <w:ilvl w:val="0"/>
                <w:numId w:val="8"/>
              </w:numPr>
              <w:spacing w:line="360" w:lineRule="auto"/>
              <w:ind w:firstLineChars="0"/>
              <w:rPr>
                <w:rFonts w:cs="Calibri" w:asciiTheme="minorHAnsi" w:hAnsiTheme="minorHAnsi"/>
                <w:szCs w:val="21"/>
              </w:rPr>
            </w:pPr>
            <w:r>
              <w:rPr>
                <w:rFonts w:hint="eastAsia" w:cs="Calibri" w:asciiTheme="minorHAnsi" w:hAnsiTheme="minorHAnsi"/>
                <w:szCs w:val="21"/>
              </w:rPr>
              <w:t>讨论调研成果</w:t>
            </w:r>
          </w:p>
          <w:p w14:paraId="7E3531B2">
            <w:pPr>
              <w:pStyle w:val="20"/>
              <w:numPr>
                <w:ilvl w:val="0"/>
                <w:numId w:val="8"/>
              </w:numPr>
              <w:spacing w:line="360" w:lineRule="auto"/>
              <w:ind w:firstLineChars="0"/>
              <w:rPr>
                <w:rFonts w:cs="Calibri" w:asciiTheme="minorHAnsi" w:hAnsiTheme="minorHAnsi"/>
                <w:szCs w:val="21"/>
              </w:rPr>
            </w:pPr>
            <w:r>
              <w:rPr>
                <w:rFonts w:hint="eastAsia" w:cs="Calibri" w:asciiTheme="minorHAnsi" w:hAnsiTheme="minorHAnsi"/>
                <w:szCs w:val="21"/>
              </w:rPr>
              <w:t>探讨成功的推广技巧</w:t>
            </w:r>
          </w:p>
          <w:p w14:paraId="096018FF">
            <w:pPr>
              <w:pStyle w:val="20"/>
              <w:numPr>
                <w:ilvl w:val="0"/>
                <w:numId w:val="8"/>
              </w:numPr>
              <w:spacing w:line="360" w:lineRule="auto"/>
              <w:ind w:firstLineChars="0"/>
              <w:rPr>
                <w:rFonts w:cs="Calibri" w:asciiTheme="minorHAnsi" w:hAnsiTheme="minorHAnsi"/>
                <w:szCs w:val="21"/>
              </w:rPr>
            </w:pPr>
            <w:r>
              <w:rPr>
                <w:rFonts w:hint="eastAsia" w:cs="Calibri" w:asciiTheme="minorHAnsi" w:hAnsiTheme="minorHAnsi"/>
                <w:szCs w:val="21"/>
              </w:rPr>
              <w:t>设计一个能够解决社会问题的产品，并策划推广活动</w:t>
            </w:r>
          </w:p>
          <w:p w14:paraId="73A202F5">
            <w:pPr>
              <w:pStyle w:val="20"/>
              <w:numPr>
                <w:ilvl w:val="0"/>
                <w:numId w:val="8"/>
              </w:numPr>
              <w:spacing w:line="360" w:lineRule="auto"/>
              <w:ind w:firstLineChars="0"/>
              <w:rPr>
                <w:rFonts w:cs="Calibri" w:asciiTheme="minorHAnsi" w:hAnsiTheme="minorHAnsi"/>
                <w:szCs w:val="21"/>
              </w:rPr>
            </w:pPr>
            <w:r>
              <w:rPr>
                <w:rFonts w:hint="eastAsia" w:cs="Calibri" w:asciiTheme="minorHAnsi" w:hAnsiTheme="minorHAnsi"/>
                <w:szCs w:val="21"/>
              </w:rPr>
              <w:t>有说服性的语言技巧</w:t>
            </w:r>
          </w:p>
        </w:tc>
      </w:tr>
      <w:tr w14:paraId="5E26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F4E0859">
            <w:pPr>
              <w:spacing w:line="360" w:lineRule="auto"/>
              <w:rPr>
                <w:rFonts w:cs="Calibri" w:asciiTheme="minorHAnsi" w:hAnsiTheme="minorHAnsi"/>
                <w:szCs w:val="21"/>
              </w:rPr>
            </w:pPr>
            <w:r>
              <w:rPr>
                <w:rFonts w:hint="eastAsia" w:cs="Calibri" w:asciiTheme="minorHAnsi" w:hAnsiTheme="minorHAnsi"/>
                <w:b/>
                <w:bCs/>
                <w:szCs w:val="21"/>
              </w:rPr>
              <w:t>第三周</w:t>
            </w:r>
          </w:p>
        </w:tc>
        <w:tc>
          <w:tcPr>
            <w:tcW w:w="5386" w:type="dxa"/>
          </w:tcPr>
          <w:p w14:paraId="610BAD84">
            <w:pPr>
              <w:spacing w:line="360" w:lineRule="auto"/>
              <w:rPr>
                <w:rFonts w:cs="Calibri" w:asciiTheme="minorHAnsi" w:hAnsiTheme="minorHAnsi"/>
                <w:szCs w:val="21"/>
              </w:rPr>
            </w:pPr>
          </w:p>
        </w:tc>
      </w:tr>
      <w:tr w14:paraId="5CE9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2F2B404">
            <w:pPr>
              <w:spacing w:line="360" w:lineRule="auto"/>
              <w:rPr>
                <w:rFonts w:cs="Calibri" w:asciiTheme="minorHAnsi" w:hAnsiTheme="minorHAnsi"/>
                <w:szCs w:val="21"/>
              </w:rPr>
            </w:pPr>
            <w:r>
              <w:rPr>
                <w:rFonts w:hint="eastAsia" w:cs="Calibri" w:asciiTheme="minorHAnsi" w:hAnsiTheme="minorHAnsi"/>
                <w:szCs w:val="21"/>
              </w:rPr>
              <w:t>模块四：关于性格</w:t>
            </w:r>
          </w:p>
        </w:tc>
        <w:tc>
          <w:tcPr>
            <w:tcW w:w="5386" w:type="dxa"/>
          </w:tcPr>
          <w:p w14:paraId="612A6E36">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探讨不同的性格特质</w:t>
            </w:r>
          </w:p>
          <w:p w14:paraId="5CC8BEC1">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如何描述一个人的性格</w:t>
            </w:r>
          </w:p>
          <w:p w14:paraId="4B482A20">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性格小测试</w:t>
            </w:r>
          </w:p>
          <w:p w14:paraId="56D61E46">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为不同性格的语言学习者提供建议</w:t>
            </w:r>
          </w:p>
          <w:p w14:paraId="2EDD03D6">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录制个人视频，检验语言学习成果</w:t>
            </w:r>
          </w:p>
        </w:tc>
      </w:tr>
      <w:tr w14:paraId="04B0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E645A0A">
            <w:pPr>
              <w:spacing w:line="360" w:lineRule="auto"/>
              <w:rPr>
                <w:rFonts w:cs="Calibri" w:asciiTheme="minorHAnsi" w:hAnsiTheme="minorHAnsi"/>
                <w:szCs w:val="21"/>
              </w:rPr>
            </w:pPr>
            <w:r>
              <w:rPr>
                <w:rFonts w:hint="eastAsia" w:cs="Calibri" w:asciiTheme="minorHAnsi" w:hAnsiTheme="minorHAnsi"/>
                <w:szCs w:val="21"/>
              </w:rPr>
              <w:t>模块五：关于电影</w:t>
            </w:r>
          </w:p>
        </w:tc>
        <w:tc>
          <w:tcPr>
            <w:tcW w:w="5386" w:type="dxa"/>
          </w:tcPr>
          <w:p w14:paraId="4908FAD1">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讨论电影类别</w:t>
            </w:r>
          </w:p>
          <w:p w14:paraId="34ECE06F">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电影的总结与评论</w:t>
            </w:r>
          </w:p>
          <w:p w14:paraId="439CB883">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策划电影情节</w:t>
            </w:r>
          </w:p>
          <w:p w14:paraId="0244A4C1">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利用影评来练习改写技巧</w:t>
            </w:r>
          </w:p>
        </w:tc>
      </w:tr>
      <w:tr w14:paraId="3B28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8885F96">
            <w:pPr>
              <w:spacing w:line="360" w:lineRule="auto"/>
              <w:rPr>
                <w:rFonts w:cs="Calibri" w:asciiTheme="minorHAnsi" w:hAnsiTheme="minorHAnsi"/>
                <w:szCs w:val="21"/>
              </w:rPr>
            </w:pPr>
            <w:r>
              <w:rPr>
                <w:rFonts w:hint="eastAsia" w:cs="Calibri" w:asciiTheme="minorHAnsi" w:hAnsiTheme="minorHAnsi"/>
                <w:b/>
                <w:bCs/>
                <w:szCs w:val="21"/>
              </w:rPr>
              <w:t>第四周</w:t>
            </w:r>
          </w:p>
        </w:tc>
        <w:tc>
          <w:tcPr>
            <w:tcW w:w="5386" w:type="dxa"/>
          </w:tcPr>
          <w:p w14:paraId="586CBDB4">
            <w:pPr>
              <w:pStyle w:val="20"/>
              <w:spacing w:line="360" w:lineRule="auto"/>
              <w:ind w:left="440" w:firstLine="0" w:firstLineChars="0"/>
              <w:rPr>
                <w:rFonts w:cs="Calibri" w:asciiTheme="minorHAnsi" w:hAnsiTheme="minorHAnsi"/>
                <w:szCs w:val="21"/>
              </w:rPr>
            </w:pPr>
          </w:p>
        </w:tc>
      </w:tr>
      <w:tr w14:paraId="1A5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F9EB1BD">
            <w:pPr>
              <w:spacing w:line="360" w:lineRule="auto"/>
              <w:rPr>
                <w:rFonts w:cs="Calibri" w:asciiTheme="minorHAnsi" w:hAnsiTheme="minorHAnsi"/>
                <w:szCs w:val="21"/>
              </w:rPr>
            </w:pPr>
            <w:r>
              <w:rPr>
                <w:rFonts w:hint="eastAsia" w:cs="Calibri" w:asciiTheme="minorHAnsi" w:hAnsiTheme="minorHAnsi"/>
                <w:szCs w:val="21"/>
              </w:rPr>
              <w:t>模块六：职场生涯与领导力</w:t>
            </w:r>
          </w:p>
        </w:tc>
        <w:tc>
          <w:tcPr>
            <w:tcW w:w="5386" w:type="dxa"/>
          </w:tcPr>
          <w:p w14:paraId="73253D0C">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讨论性格特质与职场技能</w:t>
            </w:r>
          </w:p>
          <w:p w14:paraId="47EE8C0A">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参加面试的回答技巧</w:t>
            </w:r>
          </w:p>
          <w:p w14:paraId="1D301AC6">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分析不同类型的面试回应</w:t>
            </w:r>
          </w:p>
          <w:p w14:paraId="6AD6E4AC">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模拟录制面试视频，分析面试用语</w:t>
            </w:r>
          </w:p>
          <w:p w14:paraId="12D9FF1F">
            <w:pPr>
              <w:pStyle w:val="20"/>
              <w:numPr>
                <w:ilvl w:val="0"/>
                <w:numId w:val="9"/>
              </w:numPr>
              <w:spacing w:line="360" w:lineRule="auto"/>
              <w:ind w:firstLineChars="0"/>
              <w:rPr>
                <w:rFonts w:cs="Calibri" w:asciiTheme="minorHAnsi" w:hAnsiTheme="minorHAnsi"/>
                <w:szCs w:val="21"/>
              </w:rPr>
            </w:pPr>
            <w:r>
              <w:rPr>
                <w:rFonts w:hint="eastAsia" w:cs="Calibri" w:asciiTheme="minorHAnsi" w:hAnsiTheme="minorHAnsi"/>
                <w:szCs w:val="21"/>
              </w:rPr>
              <w:t>关于领导力</w:t>
            </w:r>
          </w:p>
        </w:tc>
      </w:tr>
      <w:tr w14:paraId="5D26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9DB940C">
            <w:pPr>
              <w:spacing w:line="360" w:lineRule="auto"/>
              <w:rPr>
                <w:rFonts w:cs="Calibri" w:asciiTheme="minorHAnsi" w:hAnsiTheme="minorHAnsi"/>
                <w:szCs w:val="21"/>
              </w:rPr>
            </w:pPr>
            <w:r>
              <w:rPr>
                <w:rFonts w:hint="eastAsia" w:cs="Calibri" w:asciiTheme="minorHAnsi" w:hAnsiTheme="minorHAnsi"/>
                <w:szCs w:val="21"/>
              </w:rPr>
              <w:t>课程总结</w:t>
            </w:r>
          </w:p>
        </w:tc>
        <w:tc>
          <w:tcPr>
            <w:tcW w:w="5386" w:type="dxa"/>
          </w:tcPr>
          <w:p w14:paraId="70169C06">
            <w:pPr>
              <w:pStyle w:val="20"/>
              <w:spacing w:line="360" w:lineRule="auto"/>
              <w:ind w:left="440" w:firstLine="0" w:firstLineChars="0"/>
              <w:rPr>
                <w:rFonts w:cs="Calibri" w:asciiTheme="minorHAnsi" w:hAnsiTheme="minorHAnsi"/>
                <w:szCs w:val="21"/>
              </w:rPr>
            </w:pPr>
          </w:p>
        </w:tc>
      </w:tr>
    </w:tbl>
    <w:p w14:paraId="52E63E7B">
      <w:pPr>
        <w:spacing w:line="360" w:lineRule="auto"/>
        <w:rPr>
          <w:rFonts w:cs="Calibri" w:asciiTheme="minorHAnsi" w:hAnsiTheme="minorHAnsi"/>
          <w:sz w:val="22"/>
          <w:szCs w:val="22"/>
        </w:rPr>
      </w:pPr>
    </w:p>
    <w:p w14:paraId="48A2CDF8">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文化活动</w:t>
      </w:r>
      <w:r>
        <w:rPr>
          <w:rFonts w:cs="Calibri" w:asciiTheme="minorHAnsi" w:hAnsiTheme="minorHAnsi"/>
          <w:szCs w:val="21"/>
        </w:rPr>
        <w:t>】</w:t>
      </w:r>
    </w:p>
    <w:p w14:paraId="73D56CC2">
      <w:pPr>
        <w:spacing w:line="360" w:lineRule="auto"/>
        <w:rPr>
          <w:rFonts w:cs="Calibri" w:asciiTheme="minorHAnsi" w:hAnsiTheme="minorHAnsi"/>
          <w:sz w:val="22"/>
          <w:szCs w:val="22"/>
        </w:rPr>
      </w:pPr>
      <w:r>
        <w:rPr>
          <w:rFonts w:ascii="Calibri" w:hAnsi="Calibri" w:cs="Calibri"/>
        </w:rPr>
        <w:t xml:space="preserve">     </w:t>
      </w:r>
      <w:r>
        <w:rPr>
          <w:rFonts w:hint="eastAsia" w:ascii="Calibri" w:hAnsi="Calibri" w:cs="Calibri"/>
        </w:rPr>
        <w:t>多伦多大学语言中心在项目期间，会为国际学生组织各类丰富多彩的文化活动，以丰富他们的学习体验，如校园参观、桌游活动、电影之夜、滑冰活动、参观皇家安大略博物馆、参访当地的著名市场、尼亚加拉大瀑布之旅、参观当地艺术馆、观看冰球比赛等，学生可根据自身兴趣选择参加免费或付费的活动，获得丰富的学习体验。</w:t>
      </w:r>
    </w:p>
    <w:p w14:paraId="7EFD89C8">
      <w:pPr>
        <w:spacing w:line="360" w:lineRule="auto"/>
        <w:ind w:firstLine="420" w:firstLineChars="200"/>
        <w:rPr>
          <w:rFonts w:cs="Calibri" w:asciiTheme="minorHAnsi" w:hAnsiTheme="minorHAnsi"/>
          <w:szCs w:val="21"/>
        </w:rPr>
      </w:pPr>
      <w:r>
        <w:rPr>
          <w:rFonts w:hint="eastAsia" w:cs="Calibri" w:asciiTheme="minorHAnsi" w:hAnsiTheme="minorHAnsi"/>
          <w:szCs w:val="21"/>
        </w:rPr>
        <w:t>项目学生均可获得</w:t>
      </w:r>
      <w:r>
        <w:rPr>
          <w:rFonts w:hint="eastAsia" w:asciiTheme="minorHAnsi" w:hAnsiTheme="minorHAnsi" w:eastAsiaTheme="majorEastAsia" w:cstheme="minorHAnsi"/>
          <w:szCs w:val="21"/>
        </w:rPr>
        <w:t>多伦多大学</w:t>
      </w:r>
      <w:r>
        <w:rPr>
          <w:rFonts w:hint="eastAsia" w:cs="Calibri" w:asciiTheme="minorHAnsi" w:hAnsiTheme="minorHAnsi"/>
          <w:szCs w:val="21"/>
        </w:rPr>
        <w:t>正式注册的学生证，凭借学生证可在项目期内，按校方规定使用学校的校园设施与教育资源。学生将入住当地的寄宿家庭，能够更加迅速提高自己的语言水平，体验当地的社会与文化。</w:t>
      </w:r>
    </w:p>
    <w:p w14:paraId="40811291">
      <w:pPr>
        <w:spacing w:line="360" w:lineRule="auto"/>
        <w:rPr>
          <w:rFonts w:cs="Calibri" w:asciiTheme="minorHAnsi" w:hAnsiTheme="minorHAnsi"/>
          <w:sz w:val="22"/>
          <w:szCs w:val="22"/>
        </w:rPr>
      </w:pPr>
      <w:bookmarkStart w:id="0" w:name="_GoBack"/>
      <w:bookmarkEnd w:id="0"/>
    </w:p>
    <w:p w14:paraId="06AC9587">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项目考核</w:t>
      </w:r>
      <w:r>
        <w:rPr>
          <w:rFonts w:cs="Calibri" w:asciiTheme="minorHAnsi" w:hAnsiTheme="minorHAnsi"/>
          <w:szCs w:val="21"/>
        </w:rPr>
        <w:t>】</w:t>
      </w:r>
    </w:p>
    <w:p w14:paraId="4FFBA379">
      <w:pPr>
        <w:spacing w:line="360" w:lineRule="auto"/>
        <w:ind w:firstLine="420" w:firstLineChars="200"/>
        <w:rPr>
          <w:rFonts w:ascii="Calibri" w:hAnsi="Calibri" w:cs="Calibri"/>
        </w:rPr>
      </w:pPr>
      <w:r>
        <w:rPr>
          <w:rFonts w:asciiTheme="minorHAnsi" w:hAnsiTheme="minorHAnsi" w:eastAsiaTheme="majorEastAsia" w:cstheme="minorHAnsi"/>
          <w:szCs w:val="21"/>
        </w:rPr>
        <w:t>参加项目的学生与多伦多大学在读的语言项目学生混合编班，由多大进行统一的学术管理与学术考核，</w:t>
      </w:r>
      <w:r>
        <w:rPr>
          <w:rFonts w:hint="eastAsia" w:asciiTheme="minorHAnsi" w:hAnsiTheme="minorHAnsi" w:eastAsiaTheme="majorEastAsia" w:cstheme="minorHAnsi"/>
          <w:szCs w:val="21"/>
        </w:rPr>
        <w:t>考核内容包括教学任务、听力理解评估、口语表达评估以及小组项目。顺利完成所有课程，并通过学术考核的学生，将获得多伦多大学出具的正式成绩单。</w:t>
      </w:r>
    </w:p>
    <w:p w14:paraId="34D5FBF6">
      <w:pPr>
        <w:pStyle w:val="20"/>
        <w:widowControl/>
        <w:spacing w:line="360" w:lineRule="auto"/>
        <w:ind w:left="840" w:firstLine="0" w:firstLineChars="0"/>
        <w:jc w:val="left"/>
        <w:rPr>
          <w:rFonts w:asciiTheme="minorHAnsi" w:hAnsiTheme="minorHAnsi" w:eastAsiaTheme="majorEastAsia" w:cstheme="minorHAnsi"/>
          <w:bCs/>
          <w:kern w:val="0"/>
          <w:szCs w:val="21"/>
        </w:rPr>
      </w:pPr>
      <w:r>
        <w:drawing>
          <wp:anchor distT="0" distB="0" distL="114300" distR="114300" simplePos="0" relativeHeight="251659264" behindDoc="0" locked="0" layoutInCell="1" allowOverlap="1">
            <wp:simplePos x="0" y="0"/>
            <wp:positionH relativeFrom="column">
              <wp:posOffset>25400</wp:posOffset>
            </wp:positionH>
            <wp:positionV relativeFrom="paragraph">
              <wp:posOffset>84455</wp:posOffset>
            </wp:positionV>
            <wp:extent cx="2101215" cy="2946400"/>
            <wp:effectExtent l="0" t="0" r="0" b="6350"/>
            <wp:wrapSquare wrapText="bothSides"/>
            <wp:docPr id="11605393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39306"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01352" cy="2946400"/>
                    </a:xfrm>
                    <a:prstGeom prst="rect">
                      <a:avLst/>
                    </a:prstGeom>
                  </pic:spPr>
                </pic:pic>
              </a:graphicData>
            </a:graphic>
          </wp:anchor>
        </w:drawing>
      </w:r>
    </w:p>
    <w:p w14:paraId="34EB2D64">
      <w:pPr>
        <w:pStyle w:val="20"/>
        <w:widowControl/>
        <w:spacing w:line="360" w:lineRule="auto"/>
        <w:ind w:left="840" w:firstLine="0" w:firstLineChars="0"/>
        <w:jc w:val="left"/>
        <w:rPr>
          <w:rFonts w:asciiTheme="minorHAnsi" w:hAnsiTheme="minorHAnsi" w:eastAsiaTheme="majorEastAsia" w:cstheme="minorHAnsi"/>
          <w:bCs/>
          <w:kern w:val="0"/>
          <w:szCs w:val="21"/>
        </w:rPr>
      </w:pPr>
    </w:p>
    <w:p w14:paraId="0325B37C">
      <w:pPr>
        <w:widowControl/>
        <w:spacing w:line="360" w:lineRule="auto"/>
        <w:jc w:val="left"/>
        <w:rPr>
          <w:rFonts w:cs="Calibri" w:asciiTheme="minorHAnsi" w:hAnsiTheme="minorHAnsi"/>
          <w:szCs w:val="21"/>
        </w:rPr>
      </w:pPr>
    </w:p>
    <w:p w14:paraId="2A2D1A21">
      <w:pPr>
        <w:widowControl/>
        <w:spacing w:line="360" w:lineRule="auto"/>
        <w:jc w:val="left"/>
        <w:rPr>
          <w:rFonts w:cs="Calibri" w:asciiTheme="minorHAnsi" w:hAnsiTheme="minorHAnsi"/>
          <w:szCs w:val="21"/>
        </w:rPr>
      </w:pPr>
    </w:p>
    <w:p w14:paraId="3D856F10">
      <w:pPr>
        <w:widowControl/>
        <w:spacing w:line="360" w:lineRule="auto"/>
        <w:jc w:val="left"/>
        <w:rPr>
          <w:rFonts w:cs="Calibri" w:asciiTheme="minorHAnsi" w:hAnsiTheme="minorHAnsi"/>
          <w:szCs w:val="21"/>
        </w:rPr>
      </w:pPr>
    </w:p>
    <w:p w14:paraId="2B7134E1">
      <w:pPr>
        <w:widowControl/>
        <w:spacing w:line="360" w:lineRule="auto"/>
        <w:jc w:val="left"/>
        <w:rPr>
          <w:rFonts w:cs="Calibri" w:asciiTheme="minorHAnsi" w:hAnsiTheme="minorHAnsi"/>
          <w:szCs w:val="21"/>
        </w:rPr>
      </w:pPr>
    </w:p>
    <w:p w14:paraId="4709A79A">
      <w:pPr>
        <w:widowControl/>
        <w:spacing w:line="360" w:lineRule="auto"/>
        <w:jc w:val="left"/>
        <w:rPr>
          <w:rFonts w:cs="Calibri" w:asciiTheme="minorHAnsi" w:hAnsiTheme="minorHAnsi"/>
          <w:szCs w:val="21"/>
        </w:rPr>
      </w:pPr>
    </w:p>
    <w:p w14:paraId="52710451">
      <w:pPr>
        <w:widowControl/>
        <w:spacing w:line="360" w:lineRule="auto"/>
        <w:jc w:val="left"/>
        <w:rPr>
          <w:rFonts w:cs="Calibri" w:asciiTheme="minorHAnsi" w:hAnsiTheme="minorHAnsi"/>
          <w:szCs w:val="21"/>
        </w:rPr>
      </w:pPr>
    </w:p>
    <w:p w14:paraId="47AB2F66">
      <w:pPr>
        <w:widowControl/>
        <w:spacing w:line="360" w:lineRule="auto"/>
        <w:jc w:val="left"/>
        <w:rPr>
          <w:rFonts w:cs="Calibri" w:asciiTheme="minorHAnsi" w:hAnsiTheme="minorHAnsi"/>
          <w:szCs w:val="21"/>
        </w:rPr>
      </w:pPr>
    </w:p>
    <w:p w14:paraId="056266AC">
      <w:pPr>
        <w:widowControl/>
        <w:spacing w:line="360" w:lineRule="auto"/>
        <w:jc w:val="left"/>
        <w:rPr>
          <w:rFonts w:cs="Calibri" w:asciiTheme="minorHAnsi" w:hAnsiTheme="minorHAnsi"/>
          <w:szCs w:val="21"/>
        </w:rPr>
      </w:pPr>
    </w:p>
    <w:p w14:paraId="220D9892">
      <w:pPr>
        <w:widowControl/>
        <w:spacing w:line="360" w:lineRule="auto"/>
        <w:jc w:val="left"/>
        <w:rPr>
          <w:rFonts w:cs="Calibri" w:asciiTheme="minorHAnsi" w:hAnsiTheme="minorHAnsi"/>
          <w:szCs w:val="21"/>
        </w:rPr>
      </w:pPr>
    </w:p>
    <w:p w14:paraId="404457AA">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DDE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14:paraId="7DF4B19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14:paraId="7C93438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约人民币2.0</w:t>
            </w:r>
            <w:r>
              <w:rPr>
                <w:rFonts w:hint="eastAsia" w:asciiTheme="minorHAnsi" w:hAnsiTheme="minorHAnsi" w:eastAsiaTheme="majorEastAsia" w:cstheme="minorHAnsi"/>
                <w:szCs w:val="21"/>
                <w:lang w:val="en-US" w:eastAsia="zh-CN"/>
              </w:rPr>
              <w:t>8</w:t>
            </w:r>
            <w:r>
              <w:rPr>
                <w:rFonts w:hint="eastAsia" w:asciiTheme="minorHAnsi" w:hAnsiTheme="minorHAnsi" w:eastAsiaTheme="majorEastAsia" w:cstheme="minorHAnsi"/>
                <w:szCs w:val="21"/>
              </w:rPr>
              <w:t>万元</w:t>
            </w:r>
          </w:p>
        </w:tc>
      </w:tr>
      <w:tr w14:paraId="53BA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1023D7F">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14:paraId="09D42808">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学费、医疗与意外保险、接机、及项目服务费</w:t>
            </w:r>
          </w:p>
        </w:tc>
      </w:tr>
      <w:tr w14:paraId="4443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293DBAD">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14:paraId="0CA056BB">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国际机票、签证费、住宿费（寄宿家庭）、送机、个人生活费</w:t>
            </w:r>
          </w:p>
        </w:tc>
      </w:tr>
    </w:tbl>
    <w:p w14:paraId="71B9436E">
      <w:pPr>
        <w:spacing w:line="360" w:lineRule="auto"/>
        <w:rPr>
          <w:rFonts w:asciiTheme="minorHAnsi" w:hAnsiTheme="minorHAnsi" w:eastAsiaTheme="majorEastAsia" w:cstheme="minorHAnsi"/>
          <w:b/>
          <w:bCs/>
          <w:kern w:val="0"/>
          <w:szCs w:val="21"/>
        </w:rPr>
      </w:pPr>
    </w:p>
    <w:p w14:paraId="00C3851C">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27CCB08D">
      <w:pPr>
        <w:pStyle w:val="20"/>
        <w:widowControl/>
        <w:numPr>
          <w:ilvl w:val="0"/>
          <w:numId w:val="10"/>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具有良好的英语基础</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入学</w:t>
      </w:r>
      <w:r>
        <w:rPr>
          <w:rFonts w:hint="eastAsia" w:asciiTheme="minorHAnsi" w:hAnsiTheme="minorHAnsi" w:eastAsiaTheme="majorEastAsia" w:cstheme="minorHAnsi"/>
          <w:szCs w:val="21"/>
        </w:rPr>
        <w:t>前</w:t>
      </w:r>
      <w:r>
        <w:rPr>
          <w:rFonts w:asciiTheme="minorHAnsi" w:hAnsiTheme="minorHAnsi" w:eastAsiaTheme="majorEastAsia" w:cstheme="minorHAnsi"/>
          <w:szCs w:val="21"/>
        </w:rPr>
        <w:t>参加语言</w:t>
      </w:r>
      <w:r>
        <w:rPr>
          <w:rFonts w:hint="eastAsia" w:asciiTheme="minorHAnsi" w:hAnsiTheme="minorHAnsi" w:eastAsiaTheme="majorEastAsia" w:cstheme="minorHAnsi"/>
          <w:szCs w:val="21"/>
        </w:rPr>
        <w:t>分级</w:t>
      </w:r>
      <w:r>
        <w:rPr>
          <w:rFonts w:asciiTheme="minorHAnsi" w:hAnsiTheme="minorHAnsi" w:eastAsiaTheme="majorEastAsia" w:cstheme="minorHAnsi"/>
          <w:szCs w:val="21"/>
        </w:rPr>
        <w:t>测试</w:t>
      </w:r>
      <w:r>
        <w:rPr>
          <w:rFonts w:hint="eastAsia" w:asciiTheme="minorHAnsi" w:hAnsiTheme="minorHAnsi" w:eastAsiaTheme="majorEastAsia" w:cstheme="minorHAnsi"/>
          <w:szCs w:val="21"/>
        </w:rPr>
        <w:t xml:space="preserve">；商务沟通英语需达到中级以上水平 </w:t>
      </w:r>
    </w:p>
    <w:p w14:paraId="16620000">
      <w:pPr>
        <w:pStyle w:val="20"/>
        <w:numPr>
          <w:ilvl w:val="0"/>
          <w:numId w:val="10"/>
        </w:numPr>
        <w:spacing w:line="360" w:lineRule="auto"/>
        <w:ind w:firstLineChars="0"/>
        <w:rPr>
          <w:rFonts w:hint="default" w:ascii="Calibri" w:hAnsi="Calibri" w:eastAsia="宋体" w:cs="Calibri"/>
          <w:kern w:val="2"/>
          <w:sz w:val="21"/>
          <w:szCs w:val="21"/>
          <w:woUserID w:val="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 xml:space="preserve">方式： </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5"/>
          <w:rFonts w:hint="eastAsia" w:asciiTheme="minorHAnsi" w:hAnsiTheme="minorHAnsi" w:eastAsiaTheme="majorEastAsia" w:cstheme="minorHAnsi"/>
          <w:szCs w:val="21"/>
        </w:rPr>
        <w:t>www.usiea.org</w:t>
      </w:r>
      <w:r>
        <w:rPr>
          <w:rStyle w:val="15"/>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hint="eastAsia" w:ascii="Calibri" w:hAnsi="Calibri" w:cs="Calibri"/>
          <w:szCs w:val="21"/>
        </w:rPr>
        <w:t>；</w:t>
      </w:r>
    </w:p>
    <w:p w14:paraId="57EC62DD">
      <w:pPr>
        <w:pStyle w:val="20"/>
        <w:numPr>
          <w:ilvl w:val="0"/>
          <w:numId w:val="10"/>
        </w:numPr>
        <w:spacing w:line="360" w:lineRule="auto"/>
        <w:ind w:firstLineChars="0"/>
        <w:rPr>
          <w:rFonts w:hint="default" w:ascii="Calibri" w:hAnsi="Calibri" w:eastAsia="宋体" w:cs="Calibri"/>
          <w:kern w:val="2"/>
          <w:sz w:val="21"/>
          <w:szCs w:val="21"/>
          <w:woUserID w:val="1"/>
        </w:rPr>
      </w:pPr>
      <w:r>
        <w:rPr>
          <w:rFonts w:hint="eastAsia" w:ascii="宋体" w:hAnsi="宋体" w:eastAsia="宋体" w:cs="宋体"/>
          <w:kern w:val="2"/>
          <w:sz w:val="21"/>
          <w:szCs w:val="21"/>
          <w:lang w:val="en-US" w:eastAsia="zh-CN" w:bidi="ar"/>
          <w:woUserID w:val="1"/>
        </w:rPr>
        <w:t>建议截止日期：</w:t>
      </w:r>
      <w:r>
        <w:rPr>
          <w:rFonts w:hint="default" w:ascii="宋体" w:hAnsi="宋体" w:eastAsia="宋体" w:cs="宋体"/>
          <w:kern w:val="2"/>
          <w:sz w:val="21"/>
          <w:szCs w:val="21"/>
          <w:lang w:eastAsia="zh-CN" w:bidi="ar"/>
          <w:woUserID w:val="1"/>
        </w:rPr>
        <w:t>7月项目</w:t>
      </w:r>
      <w:r>
        <w:rPr>
          <w:rFonts w:hint="default" w:ascii="Calibri" w:hAnsi="Calibri" w:eastAsia="宋体" w:cs="Calibri"/>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宋体" w:hAnsi="宋体" w:eastAsia="宋体" w:cs="宋体"/>
          <w:kern w:val="2"/>
          <w:sz w:val="21"/>
          <w:szCs w:val="21"/>
          <w:lang w:eastAsia="zh-CN" w:bidi="ar"/>
          <w:woUserID w:val="1"/>
        </w:rPr>
        <w:t>4</w:t>
      </w:r>
      <w:r>
        <w:rPr>
          <w:rFonts w:hint="eastAsia" w:ascii="宋体" w:hAnsi="宋体" w:eastAsia="宋体" w:cs="宋体"/>
          <w:kern w:val="2"/>
          <w:sz w:val="21"/>
          <w:szCs w:val="21"/>
          <w:lang w:val="en-US" w:eastAsia="zh-CN" w:bidi="ar"/>
          <w:woUserID w:val="1"/>
        </w:rPr>
        <w:t>日</w:t>
      </w:r>
      <w:r>
        <w:rPr>
          <w:rFonts w:hint="default" w:ascii="宋体" w:hAnsi="宋体" w:eastAsia="宋体" w:cs="宋体"/>
          <w:kern w:val="2"/>
          <w:sz w:val="21"/>
          <w:szCs w:val="21"/>
          <w:lang w:eastAsia="zh-CN" w:bidi="ar"/>
          <w:woUserID w:val="1"/>
        </w:rPr>
        <w:t>，8月项目5月1日</w:t>
      </w:r>
    </w:p>
    <w:p w14:paraId="170908C7">
      <w:pPr>
        <w:pStyle w:val="20"/>
        <w:numPr>
          <w:ilvl w:val="0"/>
          <w:numId w:val="0"/>
        </w:numPr>
        <w:spacing w:line="360" w:lineRule="auto"/>
        <w:ind w:leftChars="0"/>
        <w:rPr>
          <w:rFonts w:ascii="Calibri" w:hAnsi="Calibri" w:cs="Calibri"/>
          <w:szCs w:val="21"/>
        </w:rPr>
      </w:pPr>
    </w:p>
    <w:p w14:paraId="24E0AEE1">
      <w:pPr>
        <w:widowControl/>
        <w:spacing w:line="360" w:lineRule="auto"/>
        <w:jc w:val="left"/>
        <w:rPr>
          <w:rFonts w:cs="宋体" w:asciiTheme="minorHAnsi" w:hAnsiTheme="minorHAnsi"/>
          <w:kern w:val="0"/>
          <w:szCs w:val="21"/>
        </w:rPr>
      </w:pPr>
      <w:r>
        <w:rPr>
          <w:rFonts w:hint="eastAsia" w:cs="宋体" w:asciiTheme="minorHAnsi" w:hAnsiTheme="minorHAnsi"/>
          <w:kern w:val="0"/>
          <w:szCs w:val="21"/>
        </w:rPr>
        <w:t>———————————————————————————————————————</w:t>
      </w:r>
    </w:p>
    <w:p w14:paraId="35E3CE1B">
      <w:pPr>
        <w:spacing w:line="360" w:lineRule="auto"/>
        <w:ind w:left="360"/>
        <w:rPr>
          <w:rFonts w:asciiTheme="minorHAnsi" w:hAnsiTheme="minorHAnsi" w:eastAsiaTheme="majorEastAsia" w:cstheme="minorHAnsi"/>
          <w:szCs w:val="21"/>
        </w:rPr>
      </w:pPr>
    </w:p>
    <w:p w14:paraId="5168AEE3">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14:paraId="596B6F29">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7D1B4610">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"mailto:visituoft@yeah.net" </w:instrText>
      </w:r>
      <w:r>
        <w:fldChar w:fldCharType="separate"/>
      </w:r>
      <w:r>
        <w:rPr>
          <w:rStyle w:val="15"/>
          <w:rFonts w:ascii="Calibri" w:hAnsi="Calibri" w:cs="Calibri"/>
          <w:kern w:val="0"/>
          <w:sz w:val="22"/>
        </w:rPr>
        <w:t>visit</w:t>
      </w:r>
      <w:r>
        <w:rPr>
          <w:rStyle w:val="15"/>
          <w:rFonts w:hint="eastAsia" w:ascii="Calibri" w:hAnsi="Calibri" w:cs="Calibri"/>
          <w:kern w:val="0"/>
          <w:sz w:val="22"/>
        </w:rPr>
        <w:t>uoft</w:t>
      </w:r>
      <w:r>
        <w:rPr>
          <w:rStyle w:val="15"/>
          <w:rFonts w:ascii="Calibri" w:hAnsi="Calibri" w:cs="Calibri"/>
          <w:kern w:val="0"/>
          <w:sz w:val="22"/>
        </w:rPr>
        <w:t>@yeah.net</w:t>
      </w:r>
      <w:r>
        <w:rPr>
          <w:rStyle w:val="15"/>
          <w:rFonts w:ascii="Calibri" w:hAnsi="Calibri" w:cs="Calibri"/>
          <w:kern w:val="0"/>
          <w:sz w:val="22"/>
        </w:rPr>
        <w:fldChar w:fldCharType="end"/>
      </w:r>
      <w:r>
        <w:rPr>
          <w:rStyle w:val="15"/>
          <w:rFonts w:ascii="Calibri" w:hAnsi="Calibri" w:cs="Calibri"/>
          <w:kern w:val="0"/>
          <w:sz w:val="22"/>
        </w:rPr>
        <w:t xml:space="preserve"> </w:t>
      </w:r>
      <w:r>
        <w:rPr>
          <w:rFonts w:asciiTheme="minorHAnsi" w:hAnsiTheme="minorHAnsi"/>
          <w:color w:val="0068B7"/>
        </w:rPr>
        <w:t xml:space="preserve"> </w:t>
      </w:r>
      <w:r>
        <w:rPr>
          <w:rFonts w:asciiTheme="minorHAnsi" w:hAnsiTheme="minorHAnsi"/>
        </w:rPr>
        <w:t xml:space="preserve"> </w:t>
      </w:r>
    </w:p>
    <w:p w14:paraId="0E1C7B15">
      <w:pPr>
        <w:widowControl/>
        <w:spacing w:line="360" w:lineRule="auto"/>
        <w:jc w:val="left"/>
        <w:rPr>
          <w:rFonts w:cs="Calibri" w:asciiTheme="minorHAnsi" w:hAnsiTheme="minorHAnsi"/>
          <w:kern w:val="0"/>
          <w:sz w:val="22"/>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E90A">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90D1C"/>
    <w:multiLevelType w:val="multilevel"/>
    <w:tmpl w:val="19A90D1C"/>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42A0A2A"/>
    <w:multiLevelType w:val="multilevel"/>
    <w:tmpl w:val="242A0A2A"/>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12E4E01"/>
    <w:multiLevelType w:val="multilevel"/>
    <w:tmpl w:val="412E4E0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47275B1C"/>
    <w:multiLevelType w:val="multilevel"/>
    <w:tmpl w:val="47275B1C"/>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7D87E00"/>
    <w:multiLevelType w:val="multilevel"/>
    <w:tmpl w:val="47D87E00"/>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5F4065E1"/>
    <w:multiLevelType w:val="multilevel"/>
    <w:tmpl w:val="5F4065E1"/>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6F0D107F"/>
    <w:multiLevelType w:val="multilevel"/>
    <w:tmpl w:val="6F0D107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745F2F15"/>
    <w:multiLevelType w:val="multilevel"/>
    <w:tmpl w:val="745F2F1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8"/>
  </w:num>
  <w:num w:numId="4">
    <w:abstractNumId w:val="7"/>
  </w:num>
  <w:num w:numId="5">
    <w:abstractNumId w:val="4"/>
  </w:num>
  <w:num w:numId="6">
    <w:abstractNumId w:val="2"/>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590A"/>
    <w:rsid w:val="00006712"/>
    <w:rsid w:val="00010F31"/>
    <w:rsid w:val="000169DD"/>
    <w:rsid w:val="000176DF"/>
    <w:rsid w:val="00020964"/>
    <w:rsid w:val="00022AFD"/>
    <w:rsid w:val="000230BD"/>
    <w:rsid w:val="00023476"/>
    <w:rsid w:val="000236D2"/>
    <w:rsid w:val="00024C64"/>
    <w:rsid w:val="00025206"/>
    <w:rsid w:val="00027A0F"/>
    <w:rsid w:val="0003068E"/>
    <w:rsid w:val="00030A02"/>
    <w:rsid w:val="00031403"/>
    <w:rsid w:val="000362BD"/>
    <w:rsid w:val="00040016"/>
    <w:rsid w:val="000402B0"/>
    <w:rsid w:val="00041148"/>
    <w:rsid w:val="00041BDA"/>
    <w:rsid w:val="00044B87"/>
    <w:rsid w:val="00046229"/>
    <w:rsid w:val="000519A2"/>
    <w:rsid w:val="00051A3D"/>
    <w:rsid w:val="0005389A"/>
    <w:rsid w:val="00060047"/>
    <w:rsid w:val="0006181E"/>
    <w:rsid w:val="00061D57"/>
    <w:rsid w:val="00065242"/>
    <w:rsid w:val="00067D4B"/>
    <w:rsid w:val="0007638C"/>
    <w:rsid w:val="000820F9"/>
    <w:rsid w:val="000840CC"/>
    <w:rsid w:val="0009206E"/>
    <w:rsid w:val="000954F4"/>
    <w:rsid w:val="000A0A86"/>
    <w:rsid w:val="000A2A22"/>
    <w:rsid w:val="000A4030"/>
    <w:rsid w:val="000A5251"/>
    <w:rsid w:val="000A5300"/>
    <w:rsid w:val="000B1A29"/>
    <w:rsid w:val="000B488B"/>
    <w:rsid w:val="000C2F7C"/>
    <w:rsid w:val="000C3F5B"/>
    <w:rsid w:val="000C4E56"/>
    <w:rsid w:val="000C5C18"/>
    <w:rsid w:val="000C7850"/>
    <w:rsid w:val="000C7F9A"/>
    <w:rsid w:val="000D3060"/>
    <w:rsid w:val="000D4BC5"/>
    <w:rsid w:val="000E03AC"/>
    <w:rsid w:val="000E1209"/>
    <w:rsid w:val="000E71FC"/>
    <w:rsid w:val="000E7915"/>
    <w:rsid w:val="000F10F6"/>
    <w:rsid w:val="000F140D"/>
    <w:rsid w:val="000F168E"/>
    <w:rsid w:val="000F38D7"/>
    <w:rsid w:val="000F6E7C"/>
    <w:rsid w:val="00100174"/>
    <w:rsid w:val="001013E1"/>
    <w:rsid w:val="0010196F"/>
    <w:rsid w:val="001051AF"/>
    <w:rsid w:val="00106BA3"/>
    <w:rsid w:val="00107F9B"/>
    <w:rsid w:val="00110B1F"/>
    <w:rsid w:val="00110EDA"/>
    <w:rsid w:val="0011231F"/>
    <w:rsid w:val="00112EFC"/>
    <w:rsid w:val="001131EA"/>
    <w:rsid w:val="001165AD"/>
    <w:rsid w:val="00116EF3"/>
    <w:rsid w:val="00120A5E"/>
    <w:rsid w:val="0012340B"/>
    <w:rsid w:val="0012488E"/>
    <w:rsid w:val="00124B0D"/>
    <w:rsid w:val="00125024"/>
    <w:rsid w:val="00127C1E"/>
    <w:rsid w:val="00127FE8"/>
    <w:rsid w:val="00131D30"/>
    <w:rsid w:val="00132D90"/>
    <w:rsid w:val="0013365F"/>
    <w:rsid w:val="00134011"/>
    <w:rsid w:val="00135388"/>
    <w:rsid w:val="00135F93"/>
    <w:rsid w:val="00137744"/>
    <w:rsid w:val="00143294"/>
    <w:rsid w:val="00146AB9"/>
    <w:rsid w:val="00154D29"/>
    <w:rsid w:val="001553F4"/>
    <w:rsid w:val="00167799"/>
    <w:rsid w:val="00167C8D"/>
    <w:rsid w:val="00170451"/>
    <w:rsid w:val="00173611"/>
    <w:rsid w:val="001738F0"/>
    <w:rsid w:val="00176F21"/>
    <w:rsid w:val="00182E04"/>
    <w:rsid w:val="001834A2"/>
    <w:rsid w:val="00186190"/>
    <w:rsid w:val="00192C0F"/>
    <w:rsid w:val="001A0C7A"/>
    <w:rsid w:val="001A281F"/>
    <w:rsid w:val="001A7D56"/>
    <w:rsid w:val="001B1730"/>
    <w:rsid w:val="001C1A51"/>
    <w:rsid w:val="001C58F1"/>
    <w:rsid w:val="001C6985"/>
    <w:rsid w:val="001D2C48"/>
    <w:rsid w:val="001D4042"/>
    <w:rsid w:val="001D458C"/>
    <w:rsid w:val="001D4EF4"/>
    <w:rsid w:val="001E31D7"/>
    <w:rsid w:val="001E5D98"/>
    <w:rsid w:val="001E6096"/>
    <w:rsid w:val="001F49A8"/>
    <w:rsid w:val="001F5524"/>
    <w:rsid w:val="00200AC1"/>
    <w:rsid w:val="00201963"/>
    <w:rsid w:val="00202030"/>
    <w:rsid w:val="00203BFF"/>
    <w:rsid w:val="002133F2"/>
    <w:rsid w:val="00213D09"/>
    <w:rsid w:val="00213D47"/>
    <w:rsid w:val="0021575D"/>
    <w:rsid w:val="0021711E"/>
    <w:rsid w:val="002202A8"/>
    <w:rsid w:val="00220949"/>
    <w:rsid w:val="00220E2D"/>
    <w:rsid w:val="002211FB"/>
    <w:rsid w:val="0022214B"/>
    <w:rsid w:val="002274D9"/>
    <w:rsid w:val="00230EA2"/>
    <w:rsid w:val="0023347E"/>
    <w:rsid w:val="002441C6"/>
    <w:rsid w:val="0024447C"/>
    <w:rsid w:val="002449A1"/>
    <w:rsid w:val="0024592F"/>
    <w:rsid w:val="00251642"/>
    <w:rsid w:val="00255140"/>
    <w:rsid w:val="00257E0D"/>
    <w:rsid w:val="002603A7"/>
    <w:rsid w:val="00261406"/>
    <w:rsid w:val="00261C11"/>
    <w:rsid w:val="00266E7E"/>
    <w:rsid w:val="00271BCB"/>
    <w:rsid w:val="00275270"/>
    <w:rsid w:val="0028056A"/>
    <w:rsid w:val="002852EE"/>
    <w:rsid w:val="00286D6A"/>
    <w:rsid w:val="0029179F"/>
    <w:rsid w:val="00292326"/>
    <w:rsid w:val="00295361"/>
    <w:rsid w:val="00296348"/>
    <w:rsid w:val="00297E1A"/>
    <w:rsid w:val="002A402F"/>
    <w:rsid w:val="002A54D2"/>
    <w:rsid w:val="002B38F6"/>
    <w:rsid w:val="002B61DD"/>
    <w:rsid w:val="002B7076"/>
    <w:rsid w:val="002C2028"/>
    <w:rsid w:val="002C229B"/>
    <w:rsid w:val="002C27D4"/>
    <w:rsid w:val="002C3134"/>
    <w:rsid w:val="002C56A8"/>
    <w:rsid w:val="002C6AEB"/>
    <w:rsid w:val="002C722D"/>
    <w:rsid w:val="002D04D0"/>
    <w:rsid w:val="002D30EE"/>
    <w:rsid w:val="002D76B2"/>
    <w:rsid w:val="002D7905"/>
    <w:rsid w:val="002D7B20"/>
    <w:rsid w:val="002E1476"/>
    <w:rsid w:val="002E3299"/>
    <w:rsid w:val="002E4985"/>
    <w:rsid w:val="002E64CC"/>
    <w:rsid w:val="002F04E4"/>
    <w:rsid w:val="002F1A53"/>
    <w:rsid w:val="002F258A"/>
    <w:rsid w:val="002F3568"/>
    <w:rsid w:val="002F7AB9"/>
    <w:rsid w:val="0030157A"/>
    <w:rsid w:val="00302995"/>
    <w:rsid w:val="00303D3D"/>
    <w:rsid w:val="00314B46"/>
    <w:rsid w:val="00315931"/>
    <w:rsid w:val="0031712B"/>
    <w:rsid w:val="0032092A"/>
    <w:rsid w:val="00321528"/>
    <w:rsid w:val="00321717"/>
    <w:rsid w:val="00321D5F"/>
    <w:rsid w:val="003238C0"/>
    <w:rsid w:val="00330870"/>
    <w:rsid w:val="00330E7E"/>
    <w:rsid w:val="00330EF0"/>
    <w:rsid w:val="00333C15"/>
    <w:rsid w:val="00342D9D"/>
    <w:rsid w:val="00342E7E"/>
    <w:rsid w:val="003440CB"/>
    <w:rsid w:val="003504A0"/>
    <w:rsid w:val="00352A1D"/>
    <w:rsid w:val="00353816"/>
    <w:rsid w:val="00357CA1"/>
    <w:rsid w:val="00361CCF"/>
    <w:rsid w:val="00364A0C"/>
    <w:rsid w:val="003738EA"/>
    <w:rsid w:val="00375491"/>
    <w:rsid w:val="00376E91"/>
    <w:rsid w:val="0038180E"/>
    <w:rsid w:val="003822A8"/>
    <w:rsid w:val="00383DCC"/>
    <w:rsid w:val="00386A4E"/>
    <w:rsid w:val="00386C51"/>
    <w:rsid w:val="00387362"/>
    <w:rsid w:val="00390C9A"/>
    <w:rsid w:val="00390FCA"/>
    <w:rsid w:val="00392494"/>
    <w:rsid w:val="00393C6D"/>
    <w:rsid w:val="00394A95"/>
    <w:rsid w:val="00396306"/>
    <w:rsid w:val="00397742"/>
    <w:rsid w:val="00397891"/>
    <w:rsid w:val="003A093A"/>
    <w:rsid w:val="003A6BB9"/>
    <w:rsid w:val="003B4151"/>
    <w:rsid w:val="003B669C"/>
    <w:rsid w:val="003B786E"/>
    <w:rsid w:val="003C6EF7"/>
    <w:rsid w:val="003D092D"/>
    <w:rsid w:val="003D0F7B"/>
    <w:rsid w:val="003D0FE9"/>
    <w:rsid w:val="003D12FB"/>
    <w:rsid w:val="003D2BCE"/>
    <w:rsid w:val="003D4037"/>
    <w:rsid w:val="003D4529"/>
    <w:rsid w:val="003D4B46"/>
    <w:rsid w:val="003D5F48"/>
    <w:rsid w:val="003E01B3"/>
    <w:rsid w:val="003E092F"/>
    <w:rsid w:val="003E3199"/>
    <w:rsid w:val="003E7DA0"/>
    <w:rsid w:val="003F050A"/>
    <w:rsid w:val="003F059B"/>
    <w:rsid w:val="003F4A9A"/>
    <w:rsid w:val="003F50D1"/>
    <w:rsid w:val="003F5F88"/>
    <w:rsid w:val="004031EA"/>
    <w:rsid w:val="0041273F"/>
    <w:rsid w:val="0042204E"/>
    <w:rsid w:val="00426325"/>
    <w:rsid w:val="00437A33"/>
    <w:rsid w:val="004469A3"/>
    <w:rsid w:val="0045270B"/>
    <w:rsid w:val="00454C45"/>
    <w:rsid w:val="004624BE"/>
    <w:rsid w:val="00463DED"/>
    <w:rsid w:val="00465A92"/>
    <w:rsid w:val="00465B50"/>
    <w:rsid w:val="004679CE"/>
    <w:rsid w:val="00470270"/>
    <w:rsid w:val="00471CBF"/>
    <w:rsid w:val="00472046"/>
    <w:rsid w:val="00475E73"/>
    <w:rsid w:val="0048136E"/>
    <w:rsid w:val="00481C76"/>
    <w:rsid w:val="00485AD1"/>
    <w:rsid w:val="00486AA5"/>
    <w:rsid w:val="004878DF"/>
    <w:rsid w:val="004932B6"/>
    <w:rsid w:val="0049395B"/>
    <w:rsid w:val="004946E0"/>
    <w:rsid w:val="00495E6D"/>
    <w:rsid w:val="004A1602"/>
    <w:rsid w:val="004A51A8"/>
    <w:rsid w:val="004B49EE"/>
    <w:rsid w:val="004B4D89"/>
    <w:rsid w:val="004B516E"/>
    <w:rsid w:val="004C0E26"/>
    <w:rsid w:val="004C343D"/>
    <w:rsid w:val="004C5277"/>
    <w:rsid w:val="004C6632"/>
    <w:rsid w:val="004C665A"/>
    <w:rsid w:val="004D2423"/>
    <w:rsid w:val="004D3884"/>
    <w:rsid w:val="004D5BBA"/>
    <w:rsid w:val="004E0748"/>
    <w:rsid w:val="004E728E"/>
    <w:rsid w:val="004F0AAB"/>
    <w:rsid w:val="004F23F6"/>
    <w:rsid w:val="004F47B7"/>
    <w:rsid w:val="004F743F"/>
    <w:rsid w:val="004F7C1B"/>
    <w:rsid w:val="00500A8F"/>
    <w:rsid w:val="005043E9"/>
    <w:rsid w:val="00505181"/>
    <w:rsid w:val="005060F9"/>
    <w:rsid w:val="005109DD"/>
    <w:rsid w:val="0051106C"/>
    <w:rsid w:val="00512BAE"/>
    <w:rsid w:val="00513DCA"/>
    <w:rsid w:val="00520C0E"/>
    <w:rsid w:val="00522EAE"/>
    <w:rsid w:val="00524D97"/>
    <w:rsid w:val="005250F2"/>
    <w:rsid w:val="00525703"/>
    <w:rsid w:val="005260BE"/>
    <w:rsid w:val="00527573"/>
    <w:rsid w:val="005326B5"/>
    <w:rsid w:val="005339BB"/>
    <w:rsid w:val="00535F08"/>
    <w:rsid w:val="00536F45"/>
    <w:rsid w:val="00537EE6"/>
    <w:rsid w:val="005447E3"/>
    <w:rsid w:val="00547E75"/>
    <w:rsid w:val="00551A1D"/>
    <w:rsid w:val="00555016"/>
    <w:rsid w:val="00555A60"/>
    <w:rsid w:val="00556212"/>
    <w:rsid w:val="005606AC"/>
    <w:rsid w:val="005631C7"/>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39D7"/>
    <w:rsid w:val="005A65C8"/>
    <w:rsid w:val="005B5D60"/>
    <w:rsid w:val="005B69C2"/>
    <w:rsid w:val="005C27A1"/>
    <w:rsid w:val="005C67D4"/>
    <w:rsid w:val="005C7CC0"/>
    <w:rsid w:val="005D0683"/>
    <w:rsid w:val="005D6F09"/>
    <w:rsid w:val="005E00D6"/>
    <w:rsid w:val="005E035C"/>
    <w:rsid w:val="005E1A23"/>
    <w:rsid w:val="005E525F"/>
    <w:rsid w:val="005E5A41"/>
    <w:rsid w:val="005E674A"/>
    <w:rsid w:val="005E6E17"/>
    <w:rsid w:val="005F6112"/>
    <w:rsid w:val="00602232"/>
    <w:rsid w:val="00602E62"/>
    <w:rsid w:val="00606AA2"/>
    <w:rsid w:val="00606C4F"/>
    <w:rsid w:val="006107DC"/>
    <w:rsid w:val="0061228A"/>
    <w:rsid w:val="00617A76"/>
    <w:rsid w:val="00621ED0"/>
    <w:rsid w:val="00622238"/>
    <w:rsid w:val="00624BB2"/>
    <w:rsid w:val="006316FD"/>
    <w:rsid w:val="00632329"/>
    <w:rsid w:val="006361BC"/>
    <w:rsid w:val="00636A3C"/>
    <w:rsid w:val="00637AD1"/>
    <w:rsid w:val="00642CD5"/>
    <w:rsid w:val="006452B3"/>
    <w:rsid w:val="00645792"/>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C1F05"/>
    <w:rsid w:val="006C2070"/>
    <w:rsid w:val="006C2ACB"/>
    <w:rsid w:val="006D2A5B"/>
    <w:rsid w:val="006D4822"/>
    <w:rsid w:val="006D5B15"/>
    <w:rsid w:val="006D5C62"/>
    <w:rsid w:val="006D642C"/>
    <w:rsid w:val="006E3A9C"/>
    <w:rsid w:val="006F038D"/>
    <w:rsid w:val="006F75B2"/>
    <w:rsid w:val="00700EA9"/>
    <w:rsid w:val="0070255A"/>
    <w:rsid w:val="00705BEF"/>
    <w:rsid w:val="00706179"/>
    <w:rsid w:val="007113DD"/>
    <w:rsid w:val="0071165F"/>
    <w:rsid w:val="0071430B"/>
    <w:rsid w:val="00720659"/>
    <w:rsid w:val="0072201D"/>
    <w:rsid w:val="00722873"/>
    <w:rsid w:val="00725BDB"/>
    <w:rsid w:val="00733292"/>
    <w:rsid w:val="0073607E"/>
    <w:rsid w:val="00736663"/>
    <w:rsid w:val="007368D2"/>
    <w:rsid w:val="007423FD"/>
    <w:rsid w:val="0074285A"/>
    <w:rsid w:val="00753C44"/>
    <w:rsid w:val="00756E5C"/>
    <w:rsid w:val="00757990"/>
    <w:rsid w:val="00760C7A"/>
    <w:rsid w:val="007619AD"/>
    <w:rsid w:val="00762330"/>
    <w:rsid w:val="007640E0"/>
    <w:rsid w:val="007652B1"/>
    <w:rsid w:val="00770616"/>
    <w:rsid w:val="00770E19"/>
    <w:rsid w:val="00772E22"/>
    <w:rsid w:val="0077332B"/>
    <w:rsid w:val="00774257"/>
    <w:rsid w:val="00775505"/>
    <w:rsid w:val="00776AE1"/>
    <w:rsid w:val="00785C31"/>
    <w:rsid w:val="0078640D"/>
    <w:rsid w:val="00793276"/>
    <w:rsid w:val="007A01B4"/>
    <w:rsid w:val="007A03BE"/>
    <w:rsid w:val="007A07E5"/>
    <w:rsid w:val="007A136C"/>
    <w:rsid w:val="007A385D"/>
    <w:rsid w:val="007A3E79"/>
    <w:rsid w:val="007A463F"/>
    <w:rsid w:val="007A6BC4"/>
    <w:rsid w:val="007A7362"/>
    <w:rsid w:val="007B0667"/>
    <w:rsid w:val="007B339A"/>
    <w:rsid w:val="007B5A17"/>
    <w:rsid w:val="007B648A"/>
    <w:rsid w:val="007B7729"/>
    <w:rsid w:val="007C2153"/>
    <w:rsid w:val="007C66DE"/>
    <w:rsid w:val="007D0768"/>
    <w:rsid w:val="007D224F"/>
    <w:rsid w:val="007D62F3"/>
    <w:rsid w:val="007E0C8A"/>
    <w:rsid w:val="007E0E50"/>
    <w:rsid w:val="007E3816"/>
    <w:rsid w:val="007E513A"/>
    <w:rsid w:val="007F5700"/>
    <w:rsid w:val="007F79E2"/>
    <w:rsid w:val="008013CE"/>
    <w:rsid w:val="00802548"/>
    <w:rsid w:val="00802957"/>
    <w:rsid w:val="00802B47"/>
    <w:rsid w:val="008062A9"/>
    <w:rsid w:val="00814AA6"/>
    <w:rsid w:val="008153A8"/>
    <w:rsid w:val="00816CEA"/>
    <w:rsid w:val="008267EE"/>
    <w:rsid w:val="0083050D"/>
    <w:rsid w:val="00832E9B"/>
    <w:rsid w:val="00833AB0"/>
    <w:rsid w:val="00834717"/>
    <w:rsid w:val="0084273E"/>
    <w:rsid w:val="008432ED"/>
    <w:rsid w:val="00843F7D"/>
    <w:rsid w:val="008450F3"/>
    <w:rsid w:val="00855260"/>
    <w:rsid w:val="00860271"/>
    <w:rsid w:val="0086227D"/>
    <w:rsid w:val="00863D28"/>
    <w:rsid w:val="00863FEE"/>
    <w:rsid w:val="008653E0"/>
    <w:rsid w:val="008730BB"/>
    <w:rsid w:val="00880B5C"/>
    <w:rsid w:val="00881B05"/>
    <w:rsid w:val="00881CA9"/>
    <w:rsid w:val="00883821"/>
    <w:rsid w:val="0088500C"/>
    <w:rsid w:val="0088679A"/>
    <w:rsid w:val="0089014A"/>
    <w:rsid w:val="008902CF"/>
    <w:rsid w:val="008966E9"/>
    <w:rsid w:val="008B188A"/>
    <w:rsid w:val="008B4A3B"/>
    <w:rsid w:val="008B56E5"/>
    <w:rsid w:val="008B6065"/>
    <w:rsid w:val="008C1F77"/>
    <w:rsid w:val="008D1223"/>
    <w:rsid w:val="008D170A"/>
    <w:rsid w:val="008D3CFE"/>
    <w:rsid w:val="008D5E6C"/>
    <w:rsid w:val="008D7F16"/>
    <w:rsid w:val="008E08E2"/>
    <w:rsid w:val="008E160B"/>
    <w:rsid w:val="008E206F"/>
    <w:rsid w:val="008E4534"/>
    <w:rsid w:val="008E54DB"/>
    <w:rsid w:val="008E7ACE"/>
    <w:rsid w:val="008F1045"/>
    <w:rsid w:val="009018E4"/>
    <w:rsid w:val="00903BED"/>
    <w:rsid w:val="00905613"/>
    <w:rsid w:val="00905BF1"/>
    <w:rsid w:val="009111B0"/>
    <w:rsid w:val="00913572"/>
    <w:rsid w:val="00915EF9"/>
    <w:rsid w:val="009171E7"/>
    <w:rsid w:val="00917662"/>
    <w:rsid w:val="00917A3B"/>
    <w:rsid w:val="0092087F"/>
    <w:rsid w:val="0092377F"/>
    <w:rsid w:val="009308D8"/>
    <w:rsid w:val="00930DF7"/>
    <w:rsid w:val="00936821"/>
    <w:rsid w:val="00936E5D"/>
    <w:rsid w:val="0094276A"/>
    <w:rsid w:val="00942C75"/>
    <w:rsid w:val="009461CF"/>
    <w:rsid w:val="00951195"/>
    <w:rsid w:val="00952045"/>
    <w:rsid w:val="00952BA5"/>
    <w:rsid w:val="009554FB"/>
    <w:rsid w:val="009565AC"/>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4A58"/>
    <w:rsid w:val="009C5700"/>
    <w:rsid w:val="009C5D67"/>
    <w:rsid w:val="009C5FEE"/>
    <w:rsid w:val="009C6763"/>
    <w:rsid w:val="009C698C"/>
    <w:rsid w:val="009C7A2D"/>
    <w:rsid w:val="009C7CE4"/>
    <w:rsid w:val="009D72F9"/>
    <w:rsid w:val="009E18AF"/>
    <w:rsid w:val="009E4A3B"/>
    <w:rsid w:val="009E5D88"/>
    <w:rsid w:val="009F0653"/>
    <w:rsid w:val="009F09C7"/>
    <w:rsid w:val="009F29A2"/>
    <w:rsid w:val="009F7FCB"/>
    <w:rsid w:val="00A00B17"/>
    <w:rsid w:val="00A01568"/>
    <w:rsid w:val="00A03D43"/>
    <w:rsid w:val="00A057AC"/>
    <w:rsid w:val="00A1042E"/>
    <w:rsid w:val="00A16D24"/>
    <w:rsid w:val="00A16E97"/>
    <w:rsid w:val="00A1794D"/>
    <w:rsid w:val="00A207E1"/>
    <w:rsid w:val="00A220C6"/>
    <w:rsid w:val="00A2358C"/>
    <w:rsid w:val="00A2663A"/>
    <w:rsid w:val="00A31C85"/>
    <w:rsid w:val="00A32C2E"/>
    <w:rsid w:val="00A33A9E"/>
    <w:rsid w:val="00A44B61"/>
    <w:rsid w:val="00A45DC2"/>
    <w:rsid w:val="00A5260B"/>
    <w:rsid w:val="00A61F62"/>
    <w:rsid w:val="00A623DF"/>
    <w:rsid w:val="00A669CF"/>
    <w:rsid w:val="00A67B5E"/>
    <w:rsid w:val="00A72E16"/>
    <w:rsid w:val="00A730D0"/>
    <w:rsid w:val="00A76003"/>
    <w:rsid w:val="00A76D78"/>
    <w:rsid w:val="00A83140"/>
    <w:rsid w:val="00A843DA"/>
    <w:rsid w:val="00A84830"/>
    <w:rsid w:val="00A96197"/>
    <w:rsid w:val="00AA2334"/>
    <w:rsid w:val="00AA4DC4"/>
    <w:rsid w:val="00AB05C6"/>
    <w:rsid w:val="00AB175E"/>
    <w:rsid w:val="00AB3244"/>
    <w:rsid w:val="00AB66D7"/>
    <w:rsid w:val="00AB694F"/>
    <w:rsid w:val="00AC32C6"/>
    <w:rsid w:val="00AD7BA1"/>
    <w:rsid w:val="00AE224E"/>
    <w:rsid w:val="00AF1933"/>
    <w:rsid w:val="00AF50E3"/>
    <w:rsid w:val="00AF5247"/>
    <w:rsid w:val="00AF6D2A"/>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50CF4"/>
    <w:rsid w:val="00B57B39"/>
    <w:rsid w:val="00B60E9C"/>
    <w:rsid w:val="00B6632A"/>
    <w:rsid w:val="00B67C18"/>
    <w:rsid w:val="00B74F9C"/>
    <w:rsid w:val="00B769E3"/>
    <w:rsid w:val="00B801E0"/>
    <w:rsid w:val="00B80489"/>
    <w:rsid w:val="00B807FD"/>
    <w:rsid w:val="00B83422"/>
    <w:rsid w:val="00B841C1"/>
    <w:rsid w:val="00B8765A"/>
    <w:rsid w:val="00B87D41"/>
    <w:rsid w:val="00B955B3"/>
    <w:rsid w:val="00BA15F6"/>
    <w:rsid w:val="00BA63ED"/>
    <w:rsid w:val="00BA7431"/>
    <w:rsid w:val="00BB0CAA"/>
    <w:rsid w:val="00BB11A8"/>
    <w:rsid w:val="00BB2026"/>
    <w:rsid w:val="00BB3784"/>
    <w:rsid w:val="00BC1BD9"/>
    <w:rsid w:val="00BC3B43"/>
    <w:rsid w:val="00BC52DF"/>
    <w:rsid w:val="00BC5535"/>
    <w:rsid w:val="00BC7A0C"/>
    <w:rsid w:val="00BD0BB7"/>
    <w:rsid w:val="00BD1289"/>
    <w:rsid w:val="00BD6A1A"/>
    <w:rsid w:val="00BE02A7"/>
    <w:rsid w:val="00BE2788"/>
    <w:rsid w:val="00BE67A2"/>
    <w:rsid w:val="00BE6F4C"/>
    <w:rsid w:val="00BE7E70"/>
    <w:rsid w:val="00BF460C"/>
    <w:rsid w:val="00BF5F9C"/>
    <w:rsid w:val="00C02F99"/>
    <w:rsid w:val="00C03770"/>
    <w:rsid w:val="00C03804"/>
    <w:rsid w:val="00C05D8E"/>
    <w:rsid w:val="00C06B20"/>
    <w:rsid w:val="00C06CBE"/>
    <w:rsid w:val="00C123C3"/>
    <w:rsid w:val="00C126DF"/>
    <w:rsid w:val="00C15DBB"/>
    <w:rsid w:val="00C2021F"/>
    <w:rsid w:val="00C31E3B"/>
    <w:rsid w:val="00C369C9"/>
    <w:rsid w:val="00C444EA"/>
    <w:rsid w:val="00C50DF8"/>
    <w:rsid w:val="00C5114A"/>
    <w:rsid w:val="00C55BB5"/>
    <w:rsid w:val="00C6019E"/>
    <w:rsid w:val="00C64953"/>
    <w:rsid w:val="00C65B28"/>
    <w:rsid w:val="00C745E3"/>
    <w:rsid w:val="00C75C2E"/>
    <w:rsid w:val="00C766EF"/>
    <w:rsid w:val="00C773FC"/>
    <w:rsid w:val="00C807AA"/>
    <w:rsid w:val="00C80EE6"/>
    <w:rsid w:val="00C817A7"/>
    <w:rsid w:val="00C861B2"/>
    <w:rsid w:val="00C86975"/>
    <w:rsid w:val="00C92958"/>
    <w:rsid w:val="00CA2A8B"/>
    <w:rsid w:val="00CA65E9"/>
    <w:rsid w:val="00CB4339"/>
    <w:rsid w:val="00CB49F9"/>
    <w:rsid w:val="00CB6A55"/>
    <w:rsid w:val="00CC06D4"/>
    <w:rsid w:val="00CC06FA"/>
    <w:rsid w:val="00CC1890"/>
    <w:rsid w:val="00CC2836"/>
    <w:rsid w:val="00CC33CC"/>
    <w:rsid w:val="00CC480B"/>
    <w:rsid w:val="00CC72C5"/>
    <w:rsid w:val="00CC7310"/>
    <w:rsid w:val="00CD332E"/>
    <w:rsid w:val="00CD41C2"/>
    <w:rsid w:val="00CD521B"/>
    <w:rsid w:val="00CE06FC"/>
    <w:rsid w:val="00CE4335"/>
    <w:rsid w:val="00CE665F"/>
    <w:rsid w:val="00CF197E"/>
    <w:rsid w:val="00CF5040"/>
    <w:rsid w:val="00D03331"/>
    <w:rsid w:val="00D073EA"/>
    <w:rsid w:val="00D07CF0"/>
    <w:rsid w:val="00D12776"/>
    <w:rsid w:val="00D12D35"/>
    <w:rsid w:val="00D2092D"/>
    <w:rsid w:val="00D24A2F"/>
    <w:rsid w:val="00D31AFE"/>
    <w:rsid w:val="00D332D6"/>
    <w:rsid w:val="00D346FC"/>
    <w:rsid w:val="00D35444"/>
    <w:rsid w:val="00D3691D"/>
    <w:rsid w:val="00D371C4"/>
    <w:rsid w:val="00D41ADE"/>
    <w:rsid w:val="00D471D1"/>
    <w:rsid w:val="00D50E81"/>
    <w:rsid w:val="00D56A55"/>
    <w:rsid w:val="00D60EC2"/>
    <w:rsid w:val="00D634D8"/>
    <w:rsid w:val="00D63C2D"/>
    <w:rsid w:val="00D651FF"/>
    <w:rsid w:val="00D65A32"/>
    <w:rsid w:val="00D6747D"/>
    <w:rsid w:val="00D71DEB"/>
    <w:rsid w:val="00D73882"/>
    <w:rsid w:val="00D80609"/>
    <w:rsid w:val="00D82BB6"/>
    <w:rsid w:val="00D87344"/>
    <w:rsid w:val="00D96CBF"/>
    <w:rsid w:val="00DA100A"/>
    <w:rsid w:val="00DA2084"/>
    <w:rsid w:val="00DA25AD"/>
    <w:rsid w:val="00DA4F61"/>
    <w:rsid w:val="00DA73E5"/>
    <w:rsid w:val="00DB0090"/>
    <w:rsid w:val="00DB1679"/>
    <w:rsid w:val="00DB5927"/>
    <w:rsid w:val="00DC2F1C"/>
    <w:rsid w:val="00DC2F84"/>
    <w:rsid w:val="00DC44EE"/>
    <w:rsid w:val="00DC4BA2"/>
    <w:rsid w:val="00DD4C8D"/>
    <w:rsid w:val="00DD7FB4"/>
    <w:rsid w:val="00DE4291"/>
    <w:rsid w:val="00DE477C"/>
    <w:rsid w:val="00DE7CB6"/>
    <w:rsid w:val="00DF1C7E"/>
    <w:rsid w:val="00DF269B"/>
    <w:rsid w:val="00DF2D4F"/>
    <w:rsid w:val="00DF4AB0"/>
    <w:rsid w:val="00DF66EE"/>
    <w:rsid w:val="00DF6776"/>
    <w:rsid w:val="00DF6B22"/>
    <w:rsid w:val="00E00245"/>
    <w:rsid w:val="00E00371"/>
    <w:rsid w:val="00E07A31"/>
    <w:rsid w:val="00E166BE"/>
    <w:rsid w:val="00E17346"/>
    <w:rsid w:val="00E21BE2"/>
    <w:rsid w:val="00E22994"/>
    <w:rsid w:val="00E23047"/>
    <w:rsid w:val="00E23270"/>
    <w:rsid w:val="00E24EE3"/>
    <w:rsid w:val="00E309FD"/>
    <w:rsid w:val="00E403D4"/>
    <w:rsid w:val="00E40561"/>
    <w:rsid w:val="00E414F9"/>
    <w:rsid w:val="00E50150"/>
    <w:rsid w:val="00E5049F"/>
    <w:rsid w:val="00E504D8"/>
    <w:rsid w:val="00E61308"/>
    <w:rsid w:val="00E61E70"/>
    <w:rsid w:val="00E64653"/>
    <w:rsid w:val="00E64D3E"/>
    <w:rsid w:val="00E67E38"/>
    <w:rsid w:val="00E700A5"/>
    <w:rsid w:val="00E7528B"/>
    <w:rsid w:val="00E76995"/>
    <w:rsid w:val="00E80E43"/>
    <w:rsid w:val="00E81F84"/>
    <w:rsid w:val="00E8311C"/>
    <w:rsid w:val="00E879A7"/>
    <w:rsid w:val="00E87A04"/>
    <w:rsid w:val="00E922B4"/>
    <w:rsid w:val="00E94534"/>
    <w:rsid w:val="00E97970"/>
    <w:rsid w:val="00EA4003"/>
    <w:rsid w:val="00EB0151"/>
    <w:rsid w:val="00EB2B49"/>
    <w:rsid w:val="00EB5B3E"/>
    <w:rsid w:val="00EB7ED2"/>
    <w:rsid w:val="00EC43C8"/>
    <w:rsid w:val="00ED1341"/>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886"/>
    <w:rsid w:val="00F27587"/>
    <w:rsid w:val="00F307F9"/>
    <w:rsid w:val="00F3131F"/>
    <w:rsid w:val="00F32538"/>
    <w:rsid w:val="00F32FBC"/>
    <w:rsid w:val="00F34A00"/>
    <w:rsid w:val="00F34D93"/>
    <w:rsid w:val="00F35515"/>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38C3"/>
    <w:rsid w:val="00FA6353"/>
    <w:rsid w:val="00FB32DE"/>
    <w:rsid w:val="00FB3ADA"/>
    <w:rsid w:val="00FB5243"/>
    <w:rsid w:val="00FB7A50"/>
    <w:rsid w:val="00FC0DF5"/>
    <w:rsid w:val="00FC44B5"/>
    <w:rsid w:val="00FC6127"/>
    <w:rsid w:val="00FC7A4D"/>
    <w:rsid w:val="00FD08A0"/>
    <w:rsid w:val="00FD1F63"/>
    <w:rsid w:val="00FD2E42"/>
    <w:rsid w:val="00FD4AA6"/>
    <w:rsid w:val="00FE2B9E"/>
    <w:rsid w:val="00FE6123"/>
    <w:rsid w:val="00FE6555"/>
    <w:rsid w:val="00FE6E03"/>
    <w:rsid w:val="00FF51E1"/>
    <w:rsid w:val="00FF5862"/>
    <w:rsid w:val="158B7A0B"/>
    <w:rsid w:val="5DF581C2"/>
    <w:rsid w:val="662C0A10"/>
    <w:rsid w:val="AF71BB39"/>
    <w:rsid w:val="FFFE14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rPr>
      <w:sz w:val="24"/>
    </w:rPr>
  </w:style>
  <w:style w:type="paragraph" w:styleId="10">
    <w:name w:val="annotation subject"/>
    <w:basedOn w:val="3"/>
    <w:next w:val="3"/>
    <w:link w:val="22"/>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0068B7"/>
      <w:u w:val="none"/>
    </w:rPr>
  </w:style>
  <w:style w:type="character" w:styleId="16">
    <w:name w:val="annotation reference"/>
    <w:basedOn w:val="13"/>
    <w:qFormat/>
    <w:uiPriority w:val="0"/>
    <w:rPr>
      <w:sz w:val="21"/>
      <w:szCs w:val="21"/>
    </w:rPr>
  </w:style>
  <w:style w:type="character" w:customStyle="1" w:styleId="17">
    <w:name w:val="141"/>
    <w:qFormat/>
    <w:uiPriority w:val="0"/>
    <w:rPr>
      <w:sz w:val="21"/>
      <w:szCs w:val="21"/>
    </w:rPr>
  </w:style>
  <w:style w:type="character" w:customStyle="1" w:styleId="18">
    <w:name w:val="ztag pre"/>
    <w:basedOn w:val="13"/>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批注文字 字符"/>
    <w:basedOn w:val="13"/>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Unresolved Mention"/>
    <w:basedOn w:val="13"/>
    <w:qFormat/>
    <w:uiPriority w:val="0"/>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2299</Words>
  <Characters>2448</Characters>
  <Lines>19</Lines>
  <Paragraphs>5</Paragraphs>
  <TotalTime>1824</TotalTime>
  <ScaleCrop>false</ScaleCrop>
  <LinksUpToDate>false</LinksUpToDate>
  <CharactersWithSpaces>2486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2019-06-20T06:53:00Z</dcterms:created>
  <dc:creator>全美国际教育协会</dc:creator>
  <cp:lastModifiedBy>dell</cp:lastModifiedBy>
  <cp:lastPrinted>2011-12-17T08:54:00Z</cp:lastPrinted>
  <dcterms:modified xsi:type="dcterms:W3CDTF">2025-03-06T08:17:55Z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C251A0712EA94920A0932536D207E6D2_12</vt:lpwstr>
  </property>
  <property fmtid="{D5CDD505-2E9C-101B-9397-08002B2CF9AE}" pid="4" name="KSOTemplateDocerSaveRecord">
    <vt:lpwstr>eyJoZGlkIjoiZWJhNGVkZDdhY2FhN2E2OTcyNzYxNGRhMjJhZWE5MDYiLCJ1c2VySWQiOiI3NTc5NzQwMjgifQ==</vt:lpwstr>
  </property>
</Properties>
</file>