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B3D5A" w14:textId="77777777" w:rsidR="00AB63C3" w:rsidRPr="00AB63C3" w:rsidRDefault="00AB63C3" w:rsidP="005E317C">
      <w:pPr>
        <w:jc w:val="center"/>
        <w:rPr>
          <w:b/>
          <w:szCs w:val="24"/>
          <w:u w:val="single"/>
          <w:lang w:val="en-US"/>
        </w:rPr>
      </w:pPr>
      <w:bookmarkStart w:id="0" w:name="_Hlk179571892"/>
      <w:bookmarkStart w:id="1" w:name="_Hlk179568185"/>
      <w:r w:rsidRPr="00AB63C3">
        <w:rPr>
          <w:b/>
          <w:szCs w:val="24"/>
          <w:u w:val="single"/>
          <w:lang w:val="en-US"/>
        </w:rPr>
        <w:t>Example of Thesis Formatting</w:t>
      </w:r>
    </w:p>
    <w:p w14:paraId="0C27F271" w14:textId="30F0CDFD" w:rsidR="005E317C" w:rsidRPr="00E45E2E" w:rsidRDefault="005E317C" w:rsidP="005E317C">
      <w:pPr>
        <w:jc w:val="center"/>
        <w:rPr>
          <w:sz w:val="22"/>
          <w:szCs w:val="22"/>
          <w:lang w:val="en-US"/>
        </w:rPr>
      </w:pPr>
      <w:r w:rsidRPr="00E45E2E">
        <w:rPr>
          <w:sz w:val="22"/>
          <w:szCs w:val="22"/>
          <w:lang w:val="en-US"/>
        </w:rPr>
        <w:t>Ivanov I</w:t>
      </w:r>
      <w:r w:rsidR="003C0158" w:rsidRPr="00E45E2E">
        <w:rPr>
          <w:sz w:val="22"/>
          <w:szCs w:val="22"/>
          <w:lang w:val="en-US"/>
        </w:rPr>
        <w:t xml:space="preserve">van </w:t>
      </w:r>
      <w:r w:rsidRPr="00E45E2E">
        <w:rPr>
          <w:sz w:val="22"/>
          <w:szCs w:val="22"/>
          <w:lang w:val="en-US"/>
        </w:rPr>
        <w:t>I</w:t>
      </w:r>
      <w:r w:rsidR="003C0158" w:rsidRPr="00E45E2E">
        <w:rPr>
          <w:sz w:val="22"/>
          <w:szCs w:val="22"/>
          <w:lang w:val="en-US"/>
        </w:rPr>
        <w:t>vanovich</w:t>
      </w:r>
      <w:r w:rsidRPr="00E45E2E">
        <w:rPr>
          <w:sz w:val="22"/>
          <w:szCs w:val="22"/>
          <w:vertAlign w:val="superscript"/>
          <w:lang w:val="en-US"/>
        </w:rPr>
        <w:t>1</w:t>
      </w:r>
      <w:r w:rsidRPr="00E45E2E">
        <w:rPr>
          <w:sz w:val="22"/>
          <w:szCs w:val="22"/>
          <w:lang w:val="en-US"/>
        </w:rPr>
        <w:t xml:space="preserve">, Dmitriev </w:t>
      </w:r>
      <w:proofErr w:type="spellStart"/>
      <w:r w:rsidR="003C0158" w:rsidRPr="00E45E2E">
        <w:rPr>
          <w:sz w:val="22"/>
          <w:szCs w:val="22"/>
          <w:lang w:val="en-US"/>
        </w:rPr>
        <w:t>Dmitriev</w:t>
      </w:r>
      <w:proofErr w:type="spellEnd"/>
      <w:r w:rsidR="003C0158" w:rsidRPr="00E45E2E">
        <w:rPr>
          <w:sz w:val="22"/>
          <w:szCs w:val="22"/>
          <w:lang w:val="en-US"/>
        </w:rPr>
        <w:t xml:space="preserve"> Dmitry Dmitrievich</w:t>
      </w:r>
      <w:r w:rsidRPr="00E45E2E">
        <w:rPr>
          <w:sz w:val="22"/>
          <w:szCs w:val="22"/>
          <w:vertAlign w:val="superscript"/>
          <w:lang w:val="en-US"/>
        </w:rPr>
        <w:t>2</w:t>
      </w:r>
      <w:r w:rsidRPr="00E45E2E">
        <w:rPr>
          <w:sz w:val="22"/>
          <w:szCs w:val="22"/>
          <w:lang w:val="en-US"/>
        </w:rPr>
        <w:t xml:space="preserve">, Vasiliev </w:t>
      </w:r>
      <w:r w:rsidR="003C0158" w:rsidRPr="00E45E2E">
        <w:rPr>
          <w:sz w:val="22"/>
          <w:szCs w:val="22"/>
          <w:lang w:val="en-US"/>
        </w:rPr>
        <w:t xml:space="preserve">Mikhail Alekseevich </w:t>
      </w:r>
      <w:r w:rsidRPr="00E45E2E">
        <w:rPr>
          <w:sz w:val="22"/>
          <w:szCs w:val="22"/>
          <w:vertAlign w:val="superscript"/>
          <w:lang w:val="en-US"/>
        </w:rPr>
        <w:t>3</w:t>
      </w:r>
    </w:p>
    <w:p w14:paraId="1D7E0811" w14:textId="0EB93075" w:rsidR="002B6DE5" w:rsidRPr="00E45E2E" w:rsidRDefault="002B6DE5" w:rsidP="002B6DE5">
      <w:pPr>
        <w:jc w:val="center"/>
        <w:rPr>
          <w:sz w:val="22"/>
          <w:szCs w:val="22"/>
          <w:lang w:val="en-US"/>
        </w:rPr>
      </w:pPr>
      <w:r w:rsidRPr="00E45E2E">
        <w:rPr>
          <w:sz w:val="22"/>
          <w:szCs w:val="22"/>
          <w:lang w:val="en-US"/>
        </w:rPr>
        <w:t>Improving the selection of hollow sucker rods through the use of a mathematical model of the behavior of the rods in the hole</w:t>
      </w:r>
    </w:p>
    <w:p w14:paraId="6A7CDAC0" w14:textId="77777777" w:rsidR="00F421B5" w:rsidRPr="00E45E2E" w:rsidRDefault="00F421B5" w:rsidP="00F421B5">
      <w:pPr>
        <w:jc w:val="center"/>
        <w:rPr>
          <w:sz w:val="22"/>
          <w:szCs w:val="22"/>
          <w:lang w:val="en-US"/>
        </w:rPr>
      </w:pPr>
      <w:r w:rsidRPr="00E45E2E">
        <w:rPr>
          <w:sz w:val="22"/>
          <w:szCs w:val="22"/>
          <w:vertAlign w:val="superscript"/>
          <w:lang w:val="en-US"/>
        </w:rPr>
        <w:t>1</w:t>
      </w:r>
      <w:r w:rsidRPr="00E45E2E">
        <w:rPr>
          <w:sz w:val="22"/>
          <w:szCs w:val="22"/>
          <w:lang w:val="en-US"/>
        </w:rPr>
        <w:t xml:space="preserve">Postgraduate student, </w:t>
      </w:r>
      <w:r w:rsidRPr="00E45E2E">
        <w:rPr>
          <w:sz w:val="22"/>
          <w:szCs w:val="22"/>
          <w:vertAlign w:val="superscript"/>
          <w:lang w:val="en-US"/>
        </w:rPr>
        <w:t>2,3</w:t>
      </w:r>
      <w:r w:rsidRPr="00E45E2E">
        <w:rPr>
          <w:sz w:val="22"/>
          <w:szCs w:val="22"/>
          <w:lang w:val="en-US"/>
        </w:rPr>
        <w:t>Lead Engineer</w:t>
      </w:r>
    </w:p>
    <w:p w14:paraId="65D4235B" w14:textId="11ABFC57" w:rsidR="00F1119A" w:rsidRPr="00E45E2E" w:rsidRDefault="00F1119A" w:rsidP="002B6DE5">
      <w:pPr>
        <w:jc w:val="center"/>
        <w:rPr>
          <w:sz w:val="22"/>
          <w:szCs w:val="22"/>
          <w:lang w:val="en-US"/>
        </w:rPr>
      </w:pPr>
      <w:r w:rsidRPr="00E45E2E">
        <w:rPr>
          <w:sz w:val="22"/>
          <w:szCs w:val="22"/>
          <w:vertAlign w:val="superscript"/>
          <w:lang w:val="en-US"/>
        </w:rPr>
        <w:t>1</w:t>
      </w:r>
      <w:bookmarkStart w:id="2" w:name="_Hlk179571765"/>
      <w:r w:rsidRPr="00E45E2E">
        <w:rPr>
          <w:sz w:val="22"/>
          <w:szCs w:val="22"/>
          <w:lang w:val="en-US"/>
        </w:rPr>
        <w:t>Gubkin University</w:t>
      </w:r>
      <w:bookmarkEnd w:id="2"/>
      <w:r w:rsidRPr="00E45E2E">
        <w:rPr>
          <w:sz w:val="22"/>
          <w:szCs w:val="22"/>
          <w:lang w:val="en-US"/>
        </w:rPr>
        <w:t xml:space="preserve">, </w:t>
      </w:r>
      <w:r w:rsidRPr="00E45E2E">
        <w:rPr>
          <w:sz w:val="22"/>
          <w:szCs w:val="22"/>
          <w:vertAlign w:val="superscript"/>
          <w:lang w:val="en-US"/>
        </w:rPr>
        <w:t>2,3</w:t>
      </w:r>
      <w:r w:rsidRPr="00E45E2E">
        <w:rPr>
          <w:sz w:val="22"/>
          <w:szCs w:val="22"/>
          <w:lang w:val="en-US"/>
        </w:rPr>
        <w:t>Neftgaznauka LLC</w:t>
      </w:r>
    </w:p>
    <w:p w14:paraId="02C9CDC6" w14:textId="6511D09B" w:rsidR="00C3484A" w:rsidRPr="00B15DA0" w:rsidRDefault="00C3484A" w:rsidP="002B6DE5">
      <w:pPr>
        <w:jc w:val="center"/>
        <w:rPr>
          <w:sz w:val="22"/>
          <w:szCs w:val="22"/>
          <w:lang w:val="en-US"/>
        </w:rPr>
      </w:pPr>
      <w:r w:rsidRPr="00E45E2E">
        <w:rPr>
          <w:sz w:val="22"/>
          <w:szCs w:val="22"/>
          <w:lang w:val="en-US"/>
        </w:rPr>
        <w:t xml:space="preserve">Scientific supervisor: </w:t>
      </w:r>
      <w:proofErr w:type="spellStart"/>
      <w:r w:rsidR="00B15DA0" w:rsidRPr="00B15DA0">
        <w:rPr>
          <w:sz w:val="22"/>
          <w:szCs w:val="22"/>
          <w:lang w:val="en-US"/>
        </w:rPr>
        <w:t>DScTech</w:t>
      </w:r>
      <w:proofErr w:type="spellEnd"/>
      <w:r w:rsidRPr="00E45E2E">
        <w:rPr>
          <w:sz w:val="22"/>
          <w:szCs w:val="22"/>
          <w:lang w:val="en-US"/>
        </w:rPr>
        <w:t xml:space="preserve">, professor Petrov </w:t>
      </w:r>
      <w:r w:rsidR="00E45E2E" w:rsidRPr="00E45E2E">
        <w:rPr>
          <w:sz w:val="22"/>
          <w:szCs w:val="22"/>
          <w:lang w:val="en-US"/>
        </w:rPr>
        <w:t>Mikhail Ivanovich</w:t>
      </w:r>
      <w:r w:rsidR="00B15DA0" w:rsidRPr="00B15DA0">
        <w:rPr>
          <w:sz w:val="22"/>
          <w:szCs w:val="22"/>
          <w:lang w:val="en-US"/>
        </w:rPr>
        <w:t xml:space="preserve">, </w:t>
      </w:r>
      <w:proofErr w:type="spellStart"/>
      <w:r w:rsidR="00B15DA0" w:rsidRPr="00B15DA0">
        <w:rPr>
          <w:sz w:val="22"/>
          <w:szCs w:val="22"/>
          <w:lang w:val="en-US"/>
        </w:rPr>
        <w:t>Gubkin</w:t>
      </w:r>
      <w:proofErr w:type="spellEnd"/>
      <w:r w:rsidR="00B15DA0" w:rsidRPr="00B15DA0">
        <w:rPr>
          <w:sz w:val="22"/>
          <w:szCs w:val="22"/>
          <w:lang w:val="en-US"/>
        </w:rPr>
        <w:t xml:space="preserve"> University</w:t>
      </w:r>
    </w:p>
    <w:bookmarkEnd w:id="1"/>
    <w:p w14:paraId="6591D951" w14:textId="77777777" w:rsidR="002B6DE5" w:rsidRPr="00E45E2E" w:rsidRDefault="002B6DE5" w:rsidP="00C3484A">
      <w:pPr>
        <w:rPr>
          <w:iCs/>
          <w:sz w:val="22"/>
          <w:szCs w:val="22"/>
          <w:lang w:val="en-US"/>
        </w:rPr>
      </w:pPr>
    </w:p>
    <w:bookmarkEnd w:id="0"/>
    <w:p w14:paraId="74729D2D" w14:textId="77777777" w:rsidR="002B6DE5" w:rsidRPr="003A58AA" w:rsidRDefault="002B6DE5" w:rsidP="002B6DE5">
      <w:pPr>
        <w:jc w:val="both"/>
        <w:rPr>
          <w:sz w:val="22"/>
          <w:szCs w:val="22"/>
          <w:lang w:val="en-US"/>
        </w:rPr>
      </w:pPr>
      <w:r w:rsidRPr="003A58AA">
        <w:rPr>
          <w:sz w:val="22"/>
          <w:szCs w:val="22"/>
          <w:lang w:val="en-US"/>
        </w:rPr>
        <w:t>ABSTRACT</w:t>
      </w:r>
    </w:p>
    <w:p w14:paraId="6C04C72C" w14:textId="77777777" w:rsidR="002B6DE5" w:rsidRPr="003A58AA" w:rsidRDefault="002B6DE5" w:rsidP="002B6DE5">
      <w:pPr>
        <w:ind w:firstLine="709"/>
        <w:jc w:val="both"/>
        <w:rPr>
          <w:sz w:val="22"/>
          <w:szCs w:val="22"/>
          <w:lang w:val="en-US"/>
        </w:rPr>
      </w:pPr>
      <w:r w:rsidRPr="003A58AA">
        <w:rPr>
          <w:sz w:val="22"/>
          <w:szCs w:val="22"/>
          <w:lang w:val="en-US"/>
        </w:rPr>
        <w:t xml:space="preserve">A new method of calculation of the stresses on the basis of dependence </w:t>
      </w:r>
      <w:proofErr w:type="spellStart"/>
      <w:r w:rsidRPr="003A58AA">
        <w:rPr>
          <w:sz w:val="22"/>
          <w:szCs w:val="22"/>
          <w:lang w:val="en-US"/>
        </w:rPr>
        <w:t>Oding</w:t>
      </w:r>
      <w:proofErr w:type="spellEnd"/>
      <w:r w:rsidRPr="003A58AA">
        <w:rPr>
          <w:sz w:val="22"/>
          <w:szCs w:val="22"/>
          <w:lang w:val="en-US"/>
        </w:rPr>
        <w:t xml:space="preserve">. The method is based on the dependence of </w:t>
      </w:r>
      <w:proofErr w:type="spellStart"/>
      <w:r w:rsidRPr="003A58AA">
        <w:rPr>
          <w:sz w:val="22"/>
          <w:szCs w:val="22"/>
          <w:lang w:val="en-US"/>
        </w:rPr>
        <w:t>Oding</w:t>
      </w:r>
      <w:proofErr w:type="spellEnd"/>
      <w:r w:rsidRPr="003A58AA">
        <w:rPr>
          <w:sz w:val="22"/>
          <w:szCs w:val="22"/>
          <w:lang w:val="en-US"/>
        </w:rPr>
        <w:t xml:space="preserve"> with the introduction of the index k terms of characterizing the design features of sucker rods and material of manufacture. The new technique yielded good agreement with the results of the situation in the well. To account for the peculiarities of operation of sucker rods in directional wells developed a mathematical model.</w:t>
      </w:r>
    </w:p>
    <w:p w14:paraId="0E59DEB2" w14:textId="77777777" w:rsidR="002B6DE5" w:rsidRPr="003A58AA" w:rsidRDefault="002B6DE5" w:rsidP="002B6DE5">
      <w:pPr>
        <w:jc w:val="both"/>
        <w:rPr>
          <w:sz w:val="22"/>
          <w:szCs w:val="22"/>
          <w:lang w:val="en-US"/>
        </w:rPr>
      </w:pPr>
    </w:p>
    <w:p w14:paraId="75B8EEF2" w14:textId="77777777" w:rsidR="002B6DE5" w:rsidRPr="003A58AA" w:rsidRDefault="002B6DE5" w:rsidP="002B6DE5">
      <w:pPr>
        <w:rPr>
          <w:sz w:val="22"/>
          <w:szCs w:val="22"/>
          <w:lang w:val="en-US"/>
        </w:rPr>
      </w:pPr>
      <w:r w:rsidRPr="003A58AA">
        <w:rPr>
          <w:sz w:val="22"/>
          <w:szCs w:val="22"/>
          <w:lang w:val="en-US"/>
        </w:rPr>
        <w:t>KEYWORDS</w:t>
      </w:r>
    </w:p>
    <w:p w14:paraId="52B3B16D" w14:textId="77777777" w:rsidR="002B6DE5" w:rsidRPr="003A58AA" w:rsidRDefault="002B6DE5" w:rsidP="002B6DE5">
      <w:pPr>
        <w:ind w:firstLine="709"/>
        <w:rPr>
          <w:sz w:val="22"/>
          <w:szCs w:val="22"/>
          <w:lang w:val="en-US"/>
        </w:rPr>
      </w:pPr>
      <w:r w:rsidRPr="003A58AA">
        <w:rPr>
          <w:sz w:val="22"/>
          <w:szCs w:val="22"/>
          <w:lang w:val="en-US"/>
        </w:rPr>
        <w:t xml:space="preserve">Sucker rods, hollow sucker rods, method of calculating the stress, the mathematical model of sucker rods, dependence </w:t>
      </w:r>
      <w:proofErr w:type="spellStart"/>
      <w:r w:rsidRPr="003A58AA">
        <w:rPr>
          <w:sz w:val="22"/>
          <w:szCs w:val="22"/>
          <w:lang w:val="en-US"/>
        </w:rPr>
        <w:t>Oding</w:t>
      </w:r>
      <w:proofErr w:type="spellEnd"/>
      <w:r w:rsidRPr="003A58AA">
        <w:rPr>
          <w:sz w:val="22"/>
          <w:szCs w:val="22"/>
          <w:lang w:val="en-US"/>
        </w:rPr>
        <w:t>.</w:t>
      </w:r>
    </w:p>
    <w:p w14:paraId="52AA8008" w14:textId="77777777" w:rsidR="002B6DE5" w:rsidRPr="003A58AA" w:rsidRDefault="002B6DE5" w:rsidP="002B6DE5">
      <w:pPr>
        <w:pStyle w:val="a7"/>
        <w:spacing w:after="0" w:line="240" w:lineRule="auto"/>
        <w:ind w:left="0" w:firstLine="709"/>
        <w:jc w:val="both"/>
        <w:rPr>
          <w:rFonts w:ascii="Times New Roman" w:hAnsi="Times New Roman"/>
          <w:lang w:val="en-US"/>
        </w:rPr>
      </w:pPr>
    </w:p>
    <w:p w14:paraId="376BDFFB" w14:textId="77777777" w:rsidR="00AB63C3" w:rsidRDefault="00AB63C3" w:rsidP="00AB63C3">
      <w:pPr>
        <w:ind w:firstLine="709"/>
        <w:contextualSpacing/>
        <w:jc w:val="both"/>
        <w:rPr>
          <w:sz w:val="22"/>
          <w:szCs w:val="22"/>
        </w:rPr>
      </w:pPr>
      <w:r w:rsidRPr="00AB63C3">
        <w:rPr>
          <w:sz w:val="22"/>
          <w:szCs w:val="22"/>
          <w:lang w:val="en-US"/>
        </w:rPr>
        <w:t xml:space="preserve">According to statistics for 2015 (Figure 1), more than a third of the entire production fund of oil wells in Russia is equipped with sucker rod pumps (SRP). Additionally, over the past five years, both in Russia and globally, the concept of simultaneous-separate operation has emerged, which involves the operation of multiple productive horizons by a single well. The majority of known simultaneous-separate operation schemes are specifically associated with sucker rod pump installations, which annually increases the share of SRPs. </w:t>
      </w:r>
      <w:r w:rsidRPr="00AB63C3">
        <w:rPr>
          <w:sz w:val="22"/>
          <w:szCs w:val="22"/>
        </w:rPr>
        <w:t xml:space="preserve">The </w:t>
      </w:r>
      <w:proofErr w:type="spellStart"/>
      <w:r w:rsidRPr="00AB63C3">
        <w:rPr>
          <w:sz w:val="22"/>
          <w:szCs w:val="22"/>
        </w:rPr>
        <w:t>final</w:t>
      </w:r>
      <w:proofErr w:type="spellEnd"/>
      <w:r w:rsidRPr="00AB63C3">
        <w:rPr>
          <w:sz w:val="22"/>
          <w:szCs w:val="22"/>
        </w:rPr>
        <w:t xml:space="preserve"> </w:t>
      </w:r>
      <w:proofErr w:type="spellStart"/>
      <w:r w:rsidRPr="00AB63C3">
        <w:rPr>
          <w:sz w:val="22"/>
          <w:szCs w:val="22"/>
        </w:rPr>
        <w:t>coefficients</w:t>
      </w:r>
      <w:proofErr w:type="spellEnd"/>
      <w:r w:rsidRPr="00AB63C3">
        <w:rPr>
          <w:sz w:val="22"/>
          <w:szCs w:val="22"/>
        </w:rPr>
        <w:t xml:space="preserve"> </w:t>
      </w:r>
      <w:proofErr w:type="spellStart"/>
      <w:r w:rsidRPr="00AB63C3">
        <w:rPr>
          <w:sz w:val="22"/>
          <w:szCs w:val="22"/>
        </w:rPr>
        <w:t>are</w:t>
      </w:r>
      <w:proofErr w:type="spellEnd"/>
      <w:r w:rsidRPr="00AB63C3">
        <w:rPr>
          <w:sz w:val="22"/>
          <w:szCs w:val="22"/>
        </w:rPr>
        <w:t xml:space="preserve"> </w:t>
      </w:r>
      <w:proofErr w:type="spellStart"/>
      <w:r w:rsidRPr="00AB63C3">
        <w:rPr>
          <w:sz w:val="22"/>
          <w:szCs w:val="22"/>
        </w:rPr>
        <w:t>presented</w:t>
      </w:r>
      <w:proofErr w:type="spellEnd"/>
      <w:r w:rsidRPr="00AB63C3">
        <w:rPr>
          <w:sz w:val="22"/>
          <w:szCs w:val="22"/>
        </w:rPr>
        <w:t xml:space="preserve"> </w:t>
      </w:r>
      <w:proofErr w:type="spellStart"/>
      <w:r w:rsidRPr="00AB63C3">
        <w:rPr>
          <w:sz w:val="22"/>
          <w:szCs w:val="22"/>
        </w:rPr>
        <w:t>in</w:t>
      </w:r>
      <w:proofErr w:type="spellEnd"/>
      <w:r w:rsidRPr="00AB63C3">
        <w:rPr>
          <w:sz w:val="22"/>
          <w:szCs w:val="22"/>
        </w:rPr>
        <w:t xml:space="preserve"> </w:t>
      </w:r>
      <w:proofErr w:type="spellStart"/>
      <w:r w:rsidRPr="00AB63C3">
        <w:rPr>
          <w:sz w:val="22"/>
          <w:szCs w:val="22"/>
        </w:rPr>
        <w:t>Table</w:t>
      </w:r>
      <w:proofErr w:type="spellEnd"/>
      <w:r w:rsidRPr="00AB63C3">
        <w:rPr>
          <w:sz w:val="22"/>
          <w:szCs w:val="22"/>
        </w:rPr>
        <w:t xml:space="preserve"> 1.</w:t>
      </w:r>
    </w:p>
    <w:p w14:paraId="5052CB90" w14:textId="1C5D03EA" w:rsidR="002B6DE5" w:rsidRPr="003A58AA" w:rsidRDefault="00D21C56" w:rsidP="002B6DE5">
      <w:pPr>
        <w:contextualSpacing/>
        <w:jc w:val="center"/>
        <w:rPr>
          <w:sz w:val="22"/>
          <w:szCs w:val="22"/>
        </w:rPr>
      </w:pPr>
      <w:r>
        <w:rPr>
          <w:noProof/>
          <w:sz w:val="22"/>
          <w:szCs w:val="22"/>
        </w:rPr>
        <mc:AlternateContent>
          <mc:Choice Requires="aink">
            <w:drawing>
              <wp:anchor distT="0" distB="0" distL="114300" distR="114300" simplePos="0" relativeHeight="251660288" behindDoc="0" locked="0" layoutInCell="1" allowOverlap="1" wp14:anchorId="693145EF" wp14:editId="7341674B">
                <wp:simplePos x="0" y="0"/>
                <wp:positionH relativeFrom="column">
                  <wp:posOffset>737690</wp:posOffset>
                </wp:positionH>
                <wp:positionV relativeFrom="paragraph">
                  <wp:posOffset>1918925</wp:posOffset>
                </wp:positionV>
                <wp:extent cx="360" cy="360"/>
                <wp:effectExtent l="0" t="0" r="0" b="0"/>
                <wp:wrapNone/>
                <wp:docPr id="488253478" name="Рукописный ввод 2"/>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693145EF" wp14:editId="7341674B">
                <wp:simplePos x="0" y="0"/>
                <wp:positionH relativeFrom="column">
                  <wp:posOffset>737690</wp:posOffset>
                </wp:positionH>
                <wp:positionV relativeFrom="paragraph">
                  <wp:posOffset>1918925</wp:posOffset>
                </wp:positionV>
                <wp:extent cx="360" cy="360"/>
                <wp:effectExtent l="0" t="0" r="0" b="0"/>
                <wp:wrapNone/>
                <wp:docPr id="488253478" name="Рукописный ввод 2"/>
                <wp:cNvGraphicFramePr/>
                <a:graphic xmlns:a="http://schemas.openxmlformats.org/drawingml/2006/main">
                  <a:graphicData uri="http://schemas.openxmlformats.org/drawingml/2006/picture">
                    <pic:pic xmlns:pic="http://schemas.openxmlformats.org/drawingml/2006/picture">
                      <pic:nvPicPr>
                        <pic:cNvPr id="488253478" name="Рукописный ввод 2"/>
                        <pic:cNvPicPr/>
                      </pic:nvPicPr>
                      <pic:blipFill>
                        <a:blip r:embed="rId8"/>
                        <a:stretch>
                          <a:fillRect/>
                        </a:stretch>
                      </pic:blipFill>
                      <pic:spPr>
                        <a:xfrm>
                          <a:off x="0" y="0"/>
                          <a:ext cx="18000" cy="108000"/>
                        </a:xfrm>
                        <a:prstGeom prst="rect">
                          <a:avLst/>
                        </a:prstGeom>
                      </pic:spPr>
                    </pic:pic>
                  </a:graphicData>
                </a:graphic>
              </wp:anchor>
            </w:drawing>
          </mc:Fallback>
        </mc:AlternateContent>
      </w:r>
      <w:r>
        <w:rPr>
          <w:noProof/>
          <w:sz w:val="22"/>
          <w:szCs w:val="22"/>
        </w:rPr>
        <mc:AlternateContent>
          <mc:Choice Requires="aink">
            <w:drawing>
              <wp:anchor distT="0" distB="0" distL="114300" distR="114300" simplePos="0" relativeHeight="251659264" behindDoc="0" locked="0" layoutInCell="1" allowOverlap="1" wp14:anchorId="2A0BC6DA" wp14:editId="313EC2E4">
                <wp:simplePos x="0" y="0"/>
                <wp:positionH relativeFrom="column">
                  <wp:posOffset>252050</wp:posOffset>
                </wp:positionH>
                <wp:positionV relativeFrom="paragraph">
                  <wp:posOffset>1652165</wp:posOffset>
                </wp:positionV>
                <wp:extent cx="3960" cy="360"/>
                <wp:effectExtent l="0" t="0" r="0" b="0"/>
                <wp:wrapNone/>
                <wp:docPr id="1609080999" name="Рукописный ввод 1"/>
                <wp:cNvGraphicFramePr/>
                <a:graphic xmlns:a="http://schemas.openxmlformats.org/drawingml/2006/main">
                  <a:graphicData uri="http://schemas.microsoft.com/office/word/2010/wordprocessingInk">
                    <w14:contentPart bwMode="auto" r:id="rId9">
                      <w14:nvContentPartPr>
                        <w14:cNvContentPartPr/>
                      </w14:nvContentPartPr>
                      <w14:xfrm>
                        <a:off x="0" y="0"/>
                        <a:ext cx="3960" cy="360"/>
                      </w14:xfrm>
                    </w14:contentPart>
                  </a:graphicData>
                </a:graphic>
              </wp:anchor>
            </w:drawing>
          </mc:Choice>
          <mc:Fallback>
            <w:drawing>
              <wp:anchor distT="0" distB="0" distL="114300" distR="114300" simplePos="0" relativeHeight="251659264" behindDoc="0" locked="0" layoutInCell="1" allowOverlap="1" wp14:anchorId="2A0BC6DA" wp14:editId="313EC2E4">
                <wp:simplePos x="0" y="0"/>
                <wp:positionH relativeFrom="column">
                  <wp:posOffset>252050</wp:posOffset>
                </wp:positionH>
                <wp:positionV relativeFrom="paragraph">
                  <wp:posOffset>1652165</wp:posOffset>
                </wp:positionV>
                <wp:extent cx="3960" cy="360"/>
                <wp:effectExtent l="0" t="0" r="0" b="0"/>
                <wp:wrapNone/>
                <wp:docPr id="1609080999" name="Рукописный ввод 1"/>
                <wp:cNvGraphicFramePr/>
                <a:graphic xmlns:a="http://schemas.openxmlformats.org/drawingml/2006/main">
                  <a:graphicData uri="http://schemas.openxmlformats.org/drawingml/2006/picture">
                    <pic:pic xmlns:pic="http://schemas.openxmlformats.org/drawingml/2006/picture">
                      <pic:nvPicPr>
                        <pic:cNvPr id="1609080999" name="Рукописный ввод 1"/>
                        <pic:cNvPicPr/>
                      </pic:nvPicPr>
                      <pic:blipFill>
                        <a:blip r:embed="rId8"/>
                        <a:stretch>
                          <a:fillRect/>
                        </a:stretch>
                      </pic:blipFill>
                      <pic:spPr>
                        <a:xfrm>
                          <a:off x="0" y="0"/>
                          <a:ext cx="21600" cy="108000"/>
                        </a:xfrm>
                        <a:prstGeom prst="rect">
                          <a:avLst/>
                        </a:prstGeom>
                      </pic:spPr>
                    </pic:pic>
                  </a:graphicData>
                </a:graphic>
              </wp:anchor>
            </w:drawing>
          </mc:Fallback>
        </mc:AlternateContent>
      </w:r>
      <w:r w:rsidR="00D6537E" w:rsidRPr="00D21C56">
        <w:rPr>
          <w:noProof/>
          <w:sz w:val="22"/>
          <w:szCs w:val="22"/>
        </w:rPr>
        <w:drawing>
          <wp:inline distT="0" distB="0" distL="0" distR="0" wp14:anchorId="033616A3" wp14:editId="46C6FE98">
            <wp:extent cx="5029200" cy="2314575"/>
            <wp:effectExtent l="0" t="0" r="0" b="0"/>
            <wp:docPr id="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C037B8" w14:textId="7DCD2942" w:rsidR="002B6DE5" w:rsidRPr="00AB63C3" w:rsidRDefault="0032408D" w:rsidP="0032408D">
      <w:pPr>
        <w:ind w:firstLine="709"/>
        <w:jc w:val="center"/>
        <w:rPr>
          <w:sz w:val="22"/>
          <w:szCs w:val="22"/>
          <w:lang w:val="en-US"/>
        </w:rPr>
      </w:pPr>
      <w:r w:rsidRPr="0032408D">
        <w:rPr>
          <w:sz w:val="22"/>
          <w:szCs w:val="22"/>
          <w:lang w:val="en-US"/>
        </w:rPr>
        <w:t>Figure 1 Well Fund of the Russian Federation for 2015.</w:t>
      </w:r>
    </w:p>
    <w:p w14:paraId="7026A243" w14:textId="77777777" w:rsidR="0032408D" w:rsidRPr="00AB63C3" w:rsidRDefault="0032408D" w:rsidP="0032408D">
      <w:pPr>
        <w:ind w:firstLine="709"/>
        <w:jc w:val="center"/>
        <w:rPr>
          <w:sz w:val="22"/>
          <w:szCs w:val="22"/>
          <w:lang w:val="en-US"/>
        </w:rPr>
      </w:pPr>
    </w:p>
    <w:p w14:paraId="1E265E18" w14:textId="7B837930" w:rsidR="002B6DE5" w:rsidRPr="0032408D" w:rsidRDefault="0032408D" w:rsidP="002B6DE5">
      <w:pPr>
        <w:tabs>
          <w:tab w:val="left" w:pos="1830"/>
        </w:tabs>
        <w:contextualSpacing/>
        <w:rPr>
          <w:sz w:val="22"/>
          <w:szCs w:val="22"/>
          <w:lang w:val="en-US"/>
        </w:rPr>
      </w:pPr>
      <w:r w:rsidRPr="0032408D">
        <w:rPr>
          <w:sz w:val="22"/>
          <w:szCs w:val="22"/>
          <w:lang w:val="en-US"/>
        </w:rPr>
        <w:t>Table 1</w:t>
      </w:r>
      <w:r w:rsidR="00AB63C3" w:rsidRPr="00AB63C3">
        <w:rPr>
          <w:sz w:val="22"/>
          <w:szCs w:val="22"/>
          <w:lang w:val="en-US"/>
        </w:rPr>
        <w:t xml:space="preserve"> </w:t>
      </w:r>
      <w:r w:rsidRPr="0032408D">
        <w:rPr>
          <w:sz w:val="22"/>
          <w:szCs w:val="22"/>
          <w:lang w:val="en-US"/>
        </w:rPr>
        <w:t>Coefficient k for Continuous Sucker Rod Pumps</w:t>
      </w:r>
      <w:r w:rsidRPr="0032408D">
        <w:rPr>
          <w:sz w:val="22"/>
          <w:szCs w:val="22"/>
          <w:lang w:val="en-US"/>
        </w:rPr>
        <w:t xml:space="preserve"> </w:t>
      </w:r>
      <w:r w:rsidR="002B6DE5" w:rsidRPr="0032408D">
        <w:rPr>
          <w:sz w:val="22"/>
          <w:szCs w:val="22"/>
          <w:lang w:val="en-US"/>
        </w:rPr>
        <w:t>[1,2]</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518"/>
        <w:gridCol w:w="809"/>
        <w:gridCol w:w="931"/>
        <w:gridCol w:w="1145"/>
        <w:gridCol w:w="1279"/>
        <w:gridCol w:w="1304"/>
        <w:gridCol w:w="1412"/>
      </w:tblGrid>
      <w:tr w:rsidR="00AB63C3" w:rsidRPr="003A58AA" w14:paraId="7BEE77A3" w14:textId="77777777" w:rsidTr="00AB63C3">
        <w:trPr>
          <w:trHeight w:val="615"/>
        </w:trPr>
        <w:tc>
          <w:tcPr>
            <w:tcW w:w="369" w:type="pct"/>
            <w:shd w:val="clear" w:color="auto" w:fill="BFBFBF"/>
            <w:vAlign w:val="center"/>
            <w:hideMark/>
          </w:tcPr>
          <w:p w14:paraId="40F486CD" w14:textId="0D6C34ED" w:rsidR="002B6DE5" w:rsidRPr="00AB63C3" w:rsidRDefault="0032408D" w:rsidP="00E32A48">
            <w:pPr>
              <w:jc w:val="center"/>
              <w:rPr>
                <w:bCs w:val="0"/>
                <w:sz w:val="22"/>
                <w:szCs w:val="22"/>
              </w:rPr>
            </w:pPr>
            <w:r w:rsidRPr="00AB63C3">
              <w:rPr>
                <w:bCs w:val="0"/>
                <w:sz w:val="22"/>
                <w:szCs w:val="22"/>
              </w:rPr>
              <w:t xml:space="preserve">Type </w:t>
            </w:r>
            <w:proofErr w:type="spellStart"/>
            <w:r w:rsidRPr="00AB63C3">
              <w:rPr>
                <w:bCs w:val="0"/>
                <w:sz w:val="22"/>
                <w:szCs w:val="22"/>
              </w:rPr>
              <w:t>Size</w:t>
            </w:r>
            <w:proofErr w:type="spellEnd"/>
            <w:r w:rsidRPr="00AB63C3">
              <w:rPr>
                <w:bCs w:val="0"/>
                <w:sz w:val="22"/>
                <w:szCs w:val="22"/>
              </w:rPr>
              <w:t xml:space="preserve">, </w:t>
            </w:r>
            <w:proofErr w:type="spellStart"/>
            <w:r w:rsidRPr="00AB63C3">
              <w:rPr>
                <w:bCs w:val="0"/>
                <w:sz w:val="22"/>
                <w:szCs w:val="22"/>
              </w:rPr>
              <w:t>mm</w:t>
            </w:r>
            <w:proofErr w:type="spellEnd"/>
          </w:p>
        </w:tc>
        <w:tc>
          <w:tcPr>
            <w:tcW w:w="837" w:type="pct"/>
            <w:shd w:val="clear" w:color="auto" w:fill="BFBFBF"/>
            <w:vAlign w:val="center"/>
            <w:hideMark/>
          </w:tcPr>
          <w:p w14:paraId="7FE43645" w14:textId="39D6EC41" w:rsidR="002B6DE5" w:rsidRPr="00AB63C3" w:rsidRDefault="0032408D" w:rsidP="00E32A48">
            <w:pPr>
              <w:jc w:val="center"/>
              <w:rPr>
                <w:bCs w:val="0"/>
                <w:sz w:val="22"/>
                <w:szCs w:val="22"/>
              </w:rPr>
            </w:pPr>
            <w:proofErr w:type="spellStart"/>
            <w:r w:rsidRPr="00AB63C3">
              <w:rPr>
                <w:bCs w:val="0"/>
                <w:sz w:val="22"/>
                <w:szCs w:val="22"/>
              </w:rPr>
              <w:t>Stress</w:t>
            </w:r>
            <w:proofErr w:type="spellEnd"/>
            <w:r w:rsidRPr="00AB63C3">
              <w:rPr>
                <w:bCs w:val="0"/>
                <w:sz w:val="22"/>
                <w:szCs w:val="22"/>
              </w:rPr>
              <w:t xml:space="preserve"> </w:t>
            </w:r>
            <w:proofErr w:type="spellStart"/>
            <w:r w:rsidRPr="00AB63C3">
              <w:rPr>
                <w:bCs w:val="0"/>
                <w:sz w:val="22"/>
                <w:szCs w:val="22"/>
              </w:rPr>
              <w:t>Concentration</w:t>
            </w:r>
            <w:proofErr w:type="spellEnd"/>
            <w:r w:rsidR="002B6DE5" w:rsidRPr="00AB63C3">
              <w:rPr>
                <w:bCs w:val="0"/>
                <w:sz w:val="22"/>
                <w:szCs w:val="22"/>
              </w:rPr>
              <w:t xml:space="preserve">, </w:t>
            </w:r>
            <w:proofErr w:type="spellStart"/>
            <w:r w:rsidR="002B6DE5" w:rsidRPr="00AB63C3">
              <w:rPr>
                <w:bCs w:val="0"/>
                <w:i/>
                <w:sz w:val="22"/>
                <w:szCs w:val="22"/>
              </w:rPr>
              <w:t>K</w:t>
            </w:r>
            <w:r w:rsidR="002B6DE5" w:rsidRPr="00AB63C3">
              <w:rPr>
                <w:bCs w:val="0"/>
                <w:i/>
                <w:sz w:val="22"/>
                <w:szCs w:val="22"/>
                <w:vertAlign w:val="subscript"/>
              </w:rPr>
              <w:t>s</w:t>
            </w:r>
            <w:proofErr w:type="spellEnd"/>
          </w:p>
        </w:tc>
        <w:tc>
          <w:tcPr>
            <w:tcW w:w="446" w:type="pct"/>
            <w:shd w:val="clear" w:color="auto" w:fill="BFBFBF"/>
            <w:vAlign w:val="center"/>
            <w:hideMark/>
          </w:tcPr>
          <w:p w14:paraId="7102E010" w14:textId="55CCE96B" w:rsidR="002B6DE5" w:rsidRPr="00AB63C3" w:rsidRDefault="0032408D" w:rsidP="00E32A48">
            <w:pPr>
              <w:jc w:val="center"/>
              <w:rPr>
                <w:bCs w:val="0"/>
                <w:sz w:val="22"/>
                <w:szCs w:val="22"/>
              </w:rPr>
            </w:pPr>
            <w:proofErr w:type="spellStart"/>
            <w:r w:rsidRPr="00AB63C3">
              <w:rPr>
                <w:bCs w:val="0"/>
                <w:sz w:val="22"/>
                <w:szCs w:val="22"/>
              </w:rPr>
              <w:t>Scale</w:t>
            </w:r>
            <w:proofErr w:type="spellEnd"/>
            <w:r w:rsidRPr="00AB63C3">
              <w:rPr>
                <w:bCs w:val="0"/>
                <w:sz w:val="22"/>
                <w:szCs w:val="22"/>
              </w:rPr>
              <w:t xml:space="preserve"> </w:t>
            </w:r>
            <w:proofErr w:type="spellStart"/>
            <w:r w:rsidRPr="00AB63C3">
              <w:rPr>
                <w:bCs w:val="0"/>
                <w:sz w:val="22"/>
                <w:szCs w:val="22"/>
              </w:rPr>
              <w:t>Effect</w:t>
            </w:r>
            <w:proofErr w:type="spellEnd"/>
            <w:r w:rsidR="002B6DE5" w:rsidRPr="00AB63C3">
              <w:rPr>
                <w:bCs w:val="0"/>
                <w:sz w:val="22"/>
                <w:szCs w:val="22"/>
              </w:rPr>
              <w:t xml:space="preserve">, </w:t>
            </w:r>
            <w:proofErr w:type="spellStart"/>
            <w:r w:rsidR="002B6DE5" w:rsidRPr="00AB63C3">
              <w:rPr>
                <w:bCs w:val="0"/>
                <w:i/>
                <w:sz w:val="22"/>
                <w:szCs w:val="22"/>
              </w:rPr>
              <w:t>K</w:t>
            </w:r>
            <w:r w:rsidR="002B6DE5" w:rsidRPr="00AB63C3">
              <w:rPr>
                <w:bCs w:val="0"/>
                <w:i/>
                <w:sz w:val="22"/>
                <w:szCs w:val="22"/>
                <w:vertAlign w:val="subscript"/>
              </w:rPr>
              <w:t>ds</w:t>
            </w:r>
            <w:proofErr w:type="spellEnd"/>
          </w:p>
        </w:tc>
        <w:tc>
          <w:tcPr>
            <w:tcW w:w="513" w:type="pct"/>
            <w:shd w:val="clear" w:color="auto" w:fill="BFBFBF"/>
            <w:vAlign w:val="center"/>
            <w:hideMark/>
          </w:tcPr>
          <w:p w14:paraId="165AAE57" w14:textId="6EBFF8DE" w:rsidR="002B6DE5" w:rsidRPr="00AB63C3" w:rsidRDefault="0032408D" w:rsidP="00E32A48">
            <w:pPr>
              <w:jc w:val="center"/>
              <w:rPr>
                <w:bCs w:val="0"/>
                <w:sz w:val="22"/>
                <w:szCs w:val="22"/>
              </w:rPr>
            </w:pPr>
            <w:r w:rsidRPr="00AB63C3">
              <w:rPr>
                <w:bCs w:val="0"/>
                <w:sz w:val="22"/>
                <w:szCs w:val="22"/>
              </w:rPr>
              <w:t>Surface Quality</w:t>
            </w:r>
            <w:r w:rsidR="002B6DE5" w:rsidRPr="00AB63C3">
              <w:rPr>
                <w:bCs w:val="0"/>
                <w:sz w:val="22"/>
                <w:szCs w:val="22"/>
              </w:rPr>
              <w:t xml:space="preserve">, </w:t>
            </w:r>
            <w:proofErr w:type="spellStart"/>
            <w:r w:rsidR="002B6DE5" w:rsidRPr="00AB63C3">
              <w:rPr>
                <w:bCs w:val="0"/>
                <w:i/>
                <w:sz w:val="22"/>
                <w:szCs w:val="22"/>
              </w:rPr>
              <w:t>K</w:t>
            </w:r>
            <w:r w:rsidR="002B6DE5" w:rsidRPr="00AB63C3">
              <w:rPr>
                <w:bCs w:val="0"/>
                <w:i/>
                <w:sz w:val="22"/>
                <w:szCs w:val="22"/>
                <w:vertAlign w:val="subscript"/>
              </w:rPr>
              <w:t>f</w:t>
            </w:r>
            <w:proofErr w:type="spellEnd"/>
          </w:p>
        </w:tc>
        <w:tc>
          <w:tcPr>
            <w:tcW w:w="631" w:type="pct"/>
            <w:shd w:val="clear" w:color="auto" w:fill="BFBFBF"/>
            <w:vAlign w:val="center"/>
            <w:hideMark/>
          </w:tcPr>
          <w:p w14:paraId="2FDF0211" w14:textId="25306039" w:rsidR="002B6DE5" w:rsidRPr="00AB63C3" w:rsidRDefault="00AB63C3" w:rsidP="00E32A48">
            <w:pPr>
              <w:jc w:val="center"/>
              <w:rPr>
                <w:bCs w:val="0"/>
                <w:sz w:val="22"/>
                <w:szCs w:val="22"/>
              </w:rPr>
            </w:pPr>
            <w:proofErr w:type="spellStart"/>
            <w:r w:rsidRPr="00AB63C3">
              <w:rPr>
                <w:bCs w:val="0"/>
                <w:sz w:val="22"/>
                <w:szCs w:val="22"/>
              </w:rPr>
              <w:t>Hardening</w:t>
            </w:r>
            <w:proofErr w:type="spellEnd"/>
            <w:r w:rsidRPr="00AB63C3">
              <w:rPr>
                <w:bCs w:val="0"/>
                <w:sz w:val="22"/>
                <w:szCs w:val="22"/>
              </w:rPr>
              <w:t xml:space="preserve"> </w:t>
            </w:r>
            <w:proofErr w:type="spellStart"/>
            <w:r w:rsidRPr="00AB63C3">
              <w:rPr>
                <w:bCs w:val="0"/>
                <w:sz w:val="22"/>
                <w:szCs w:val="22"/>
              </w:rPr>
              <w:t>Method</w:t>
            </w:r>
            <w:proofErr w:type="spellEnd"/>
            <w:r w:rsidR="002B6DE5" w:rsidRPr="00AB63C3">
              <w:rPr>
                <w:bCs w:val="0"/>
                <w:sz w:val="22"/>
                <w:szCs w:val="22"/>
              </w:rPr>
              <w:t xml:space="preserve">, </w:t>
            </w:r>
            <w:proofErr w:type="spellStart"/>
            <w:r w:rsidR="002B6DE5" w:rsidRPr="00AB63C3">
              <w:rPr>
                <w:bCs w:val="0"/>
                <w:i/>
                <w:sz w:val="22"/>
                <w:szCs w:val="22"/>
              </w:rPr>
              <w:t>K</w:t>
            </w:r>
            <w:r w:rsidR="002B6DE5" w:rsidRPr="00AB63C3">
              <w:rPr>
                <w:bCs w:val="0"/>
                <w:i/>
                <w:sz w:val="22"/>
                <w:szCs w:val="22"/>
                <w:vertAlign w:val="subscript"/>
              </w:rPr>
              <w:t>v</w:t>
            </w:r>
            <w:proofErr w:type="spellEnd"/>
          </w:p>
        </w:tc>
        <w:tc>
          <w:tcPr>
            <w:tcW w:w="705" w:type="pct"/>
            <w:shd w:val="clear" w:color="auto" w:fill="BFBFBF"/>
            <w:vAlign w:val="center"/>
            <w:hideMark/>
          </w:tcPr>
          <w:p w14:paraId="195F2470" w14:textId="729680B8" w:rsidR="002B6DE5" w:rsidRPr="00AB63C3" w:rsidRDefault="00AB63C3" w:rsidP="00E32A48">
            <w:pPr>
              <w:jc w:val="center"/>
              <w:rPr>
                <w:bCs w:val="0"/>
                <w:sz w:val="22"/>
                <w:szCs w:val="22"/>
              </w:rPr>
            </w:pPr>
            <w:proofErr w:type="spellStart"/>
            <w:r w:rsidRPr="00AB63C3">
              <w:rPr>
                <w:bCs w:val="0"/>
                <w:sz w:val="22"/>
                <w:szCs w:val="22"/>
              </w:rPr>
              <w:t>Inconstancy</w:t>
            </w:r>
            <w:proofErr w:type="spellEnd"/>
            <w:r w:rsidRPr="00AB63C3">
              <w:rPr>
                <w:bCs w:val="0"/>
                <w:sz w:val="22"/>
                <w:szCs w:val="22"/>
              </w:rPr>
              <w:t xml:space="preserve"> </w:t>
            </w:r>
            <w:proofErr w:type="spellStart"/>
            <w:r w:rsidRPr="00AB63C3">
              <w:rPr>
                <w:bCs w:val="0"/>
                <w:sz w:val="22"/>
                <w:szCs w:val="22"/>
              </w:rPr>
              <w:t>of</w:t>
            </w:r>
            <w:proofErr w:type="spellEnd"/>
            <w:r w:rsidRPr="00AB63C3">
              <w:rPr>
                <w:bCs w:val="0"/>
                <w:sz w:val="22"/>
                <w:szCs w:val="22"/>
              </w:rPr>
              <w:t xml:space="preserve"> Cross-</w:t>
            </w:r>
            <w:proofErr w:type="spellStart"/>
            <w:r w:rsidRPr="00AB63C3">
              <w:rPr>
                <w:bCs w:val="0"/>
                <w:sz w:val="22"/>
                <w:szCs w:val="22"/>
              </w:rPr>
              <w:t>section</w:t>
            </w:r>
            <w:proofErr w:type="spellEnd"/>
          </w:p>
        </w:tc>
        <w:tc>
          <w:tcPr>
            <w:tcW w:w="719" w:type="pct"/>
            <w:shd w:val="clear" w:color="auto" w:fill="BFBFBF"/>
            <w:noWrap/>
            <w:vAlign w:val="center"/>
            <w:hideMark/>
          </w:tcPr>
          <w:p w14:paraId="0E316651" w14:textId="77777777" w:rsidR="00AB63C3" w:rsidRDefault="00AB63C3" w:rsidP="00E32A48">
            <w:pPr>
              <w:jc w:val="center"/>
              <w:rPr>
                <w:bCs w:val="0"/>
                <w:sz w:val="22"/>
                <w:szCs w:val="22"/>
              </w:rPr>
            </w:pPr>
            <w:proofErr w:type="spellStart"/>
            <w:r w:rsidRPr="00AB63C3">
              <w:rPr>
                <w:bCs w:val="0"/>
                <w:sz w:val="22"/>
                <w:szCs w:val="22"/>
              </w:rPr>
              <w:t>Degradation</w:t>
            </w:r>
            <w:proofErr w:type="spellEnd"/>
          </w:p>
          <w:p w14:paraId="7205A37E" w14:textId="668EC53B" w:rsidR="002B6DE5" w:rsidRPr="00AB63C3" w:rsidRDefault="00AB63C3" w:rsidP="00E32A48">
            <w:pPr>
              <w:jc w:val="center"/>
              <w:rPr>
                <w:bCs w:val="0"/>
                <w:sz w:val="22"/>
                <w:szCs w:val="22"/>
              </w:rPr>
            </w:pPr>
            <w:r w:rsidRPr="00AB63C3">
              <w:rPr>
                <w:bCs w:val="0"/>
                <w:sz w:val="22"/>
                <w:szCs w:val="22"/>
              </w:rPr>
              <w:t xml:space="preserve"> </w:t>
            </w:r>
            <w:proofErr w:type="spellStart"/>
            <w:r w:rsidRPr="00AB63C3">
              <w:rPr>
                <w:bCs w:val="0"/>
                <w:sz w:val="22"/>
                <w:szCs w:val="22"/>
              </w:rPr>
              <w:t>Coefficient</w:t>
            </w:r>
            <w:proofErr w:type="spellEnd"/>
          </w:p>
        </w:tc>
        <w:tc>
          <w:tcPr>
            <w:tcW w:w="779" w:type="pct"/>
            <w:shd w:val="clear" w:color="auto" w:fill="BFBFBF"/>
            <w:noWrap/>
            <w:vAlign w:val="center"/>
            <w:hideMark/>
          </w:tcPr>
          <w:p w14:paraId="782A3C54" w14:textId="77777777" w:rsidR="00AB63C3" w:rsidRDefault="00AB63C3" w:rsidP="00E32A48">
            <w:pPr>
              <w:jc w:val="center"/>
              <w:rPr>
                <w:bCs w:val="0"/>
                <w:sz w:val="22"/>
                <w:szCs w:val="22"/>
              </w:rPr>
            </w:pPr>
            <w:r w:rsidRPr="00AB63C3">
              <w:rPr>
                <w:bCs w:val="0"/>
                <w:sz w:val="22"/>
                <w:szCs w:val="22"/>
              </w:rPr>
              <w:t>Final</w:t>
            </w:r>
          </w:p>
          <w:p w14:paraId="5D5E0B90" w14:textId="32FEE880" w:rsidR="002B6DE5" w:rsidRPr="00AB63C3" w:rsidRDefault="00AB63C3" w:rsidP="00E32A48">
            <w:pPr>
              <w:jc w:val="center"/>
              <w:rPr>
                <w:bCs w:val="0"/>
                <w:sz w:val="22"/>
                <w:szCs w:val="22"/>
              </w:rPr>
            </w:pPr>
            <w:r w:rsidRPr="00AB63C3">
              <w:rPr>
                <w:bCs w:val="0"/>
                <w:sz w:val="22"/>
                <w:szCs w:val="22"/>
              </w:rPr>
              <w:t xml:space="preserve"> </w:t>
            </w:r>
            <w:proofErr w:type="spellStart"/>
            <w:r w:rsidRPr="00AB63C3">
              <w:rPr>
                <w:bCs w:val="0"/>
                <w:sz w:val="22"/>
                <w:szCs w:val="22"/>
              </w:rPr>
              <w:t>Coefficient</w:t>
            </w:r>
            <w:proofErr w:type="spellEnd"/>
          </w:p>
        </w:tc>
      </w:tr>
      <w:tr w:rsidR="00AB63C3" w:rsidRPr="003A58AA" w14:paraId="3198F520" w14:textId="77777777" w:rsidTr="00AB63C3">
        <w:trPr>
          <w:trHeight w:val="300"/>
        </w:trPr>
        <w:tc>
          <w:tcPr>
            <w:tcW w:w="369" w:type="pct"/>
            <w:shd w:val="clear" w:color="auto" w:fill="auto"/>
            <w:noWrap/>
            <w:vAlign w:val="center"/>
            <w:hideMark/>
          </w:tcPr>
          <w:p w14:paraId="0670B0BD" w14:textId="77777777" w:rsidR="002B6DE5" w:rsidRPr="003A58AA" w:rsidRDefault="002B6DE5" w:rsidP="00E32A48">
            <w:pPr>
              <w:jc w:val="center"/>
              <w:rPr>
                <w:sz w:val="22"/>
                <w:szCs w:val="22"/>
                <w:lang w:val="en-US"/>
              </w:rPr>
            </w:pPr>
            <w:r w:rsidRPr="003A58AA">
              <w:rPr>
                <w:sz w:val="22"/>
                <w:szCs w:val="22"/>
                <w:lang w:val="en-US"/>
              </w:rPr>
              <w:t>16</w:t>
            </w:r>
          </w:p>
        </w:tc>
        <w:tc>
          <w:tcPr>
            <w:tcW w:w="837" w:type="pct"/>
            <w:shd w:val="clear" w:color="auto" w:fill="auto"/>
            <w:noWrap/>
            <w:vAlign w:val="center"/>
            <w:hideMark/>
          </w:tcPr>
          <w:p w14:paraId="2C38F457" w14:textId="77777777" w:rsidR="002B6DE5" w:rsidRPr="003A58AA" w:rsidRDefault="002B6DE5" w:rsidP="00E32A48">
            <w:pPr>
              <w:jc w:val="center"/>
              <w:rPr>
                <w:sz w:val="22"/>
                <w:szCs w:val="22"/>
              </w:rPr>
            </w:pPr>
            <w:r w:rsidRPr="003A58AA">
              <w:rPr>
                <w:sz w:val="22"/>
                <w:szCs w:val="22"/>
              </w:rPr>
              <w:t>0,65</w:t>
            </w:r>
          </w:p>
        </w:tc>
        <w:tc>
          <w:tcPr>
            <w:tcW w:w="446" w:type="pct"/>
            <w:shd w:val="clear" w:color="auto" w:fill="auto"/>
            <w:noWrap/>
            <w:vAlign w:val="center"/>
            <w:hideMark/>
          </w:tcPr>
          <w:p w14:paraId="2002717E" w14:textId="77777777" w:rsidR="002B6DE5" w:rsidRPr="003A58AA" w:rsidRDefault="002B6DE5" w:rsidP="00E32A48">
            <w:pPr>
              <w:jc w:val="center"/>
              <w:rPr>
                <w:sz w:val="22"/>
                <w:szCs w:val="22"/>
              </w:rPr>
            </w:pPr>
            <w:r w:rsidRPr="003A58AA">
              <w:rPr>
                <w:sz w:val="22"/>
                <w:szCs w:val="22"/>
              </w:rPr>
              <w:t>1,09</w:t>
            </w:r>
          </w:p>
        </w:tc>
        <w:tc>
          <w:tcPr>
            <w:tcW w:w="513" w:type="pct"/>
            <w:shd w:val="clear" w:color="auto" w:fill="auto"/>
            <w:noWrap/>
            <w:vAlign w:val="center"/>
            <w:hideMark/>
          </w:tcPr>
          <w:p w14:paraId="18C8B7FB" w14:textId="77777777" w:rsidR="002B6DE5" w:rsidRPr="003A58AA" w:rsidRDefault="002B6DE5" w:rsidP="00E32A48">
            <w:pPr>
              <w:jc w:val="center"/>
              <w:rPr>
                <w:sz w:val="22"/>
                <w:szCs w:val="22"/>
              </w:rPr>
            </w:pPr>
            <w:r w:rsidRPr="003A58AA">
              <w:rPr>
                <w:sz w:val="22"/>
                <w:szCs w:val="22"/>
              </w:rPr>
              <w:t>0,8</w:t>
            </w:r>
          </w:p>
        </w:tc>
        <w:tc>
          <w:tcPr>
            <w:tcW w:w="631" w:type="pct"/>
            <w:shd w:val="clear" w:color="auto" w:fill="auto"/>
            <w:noWrap/>
            <w:vAlign w:val="center"/>
            <w:hideMark/>
          </w:tcPr>
          <w:p w14:paraId="6746DD6A" w14:textId="77777777" w:rsidR="002B6DE5" w:rsidRPr="003A58AA" w:rsidRDefault="002B6DE5" w:rsidP="00E32A48">
            <w:pPr>
              <w:jc w:val="center"/>
              <w:rPr>
                <w:sz w:val="22"/>
                <w:szCs w:val="22"/>
              </w:rPr>
            </w:pPr>
            <w:r w:rsidRPr="003A58AA">
              <w:rPr>
                <w:sz w:val="22"/>
                <w:szCs w:val="22"/>
              </w:rPr>
              <w:t>1,45</w:t>
            </w:r>
          </w:p>
        </w:tc>
        <w:tc>
          <w:tcPr>
            <w:tcW w:w="705" w:type="pct"/>
            <w:shd w:val="clear" w:color="auto" w:fill="auto"/>
            <w:noWrap/>
            <w:vAlign w:val="center"/>
            <w:hideMark/>
          </w:tcPr>
          <w:p w14:paraId="24A9256B" w14:textId="77777777" w:rsidR="002B6DE5" w:rsidRPr="003A58AA" w:rsidRDefault="002B6DE5" w:rsidP="00E32A48">
            <w:pPr>
              <w:jc w:val="center"/>
              <w:rPr>
                <w:sz w:val="22"/>
                <w:szCs w:val="22"/>
              </w:rPr>
            </w:pPr>
            <w:r w:rsidRPr="003A58AA">
              <w:rPr>
                <w:sz w:val="22"/>
                <w:szCs w:val="22"/>
              </w:rPr>
              <w:t>-</w:t>
            </w:r>
          </w:p>
        </w:tc>
        <w:tc>
          <w:tcPr>
            <w:tcW w:w="719" w:type="pct"/>
            <w:shd w:val="clear" w:color="auto" w:fill="auto"/>
            <w:noWrap/>
            <w:vAlign w:val="center"/>
            <w:hideMark/>
          </w:tcPr>
          <w:p w14:paraId="080D41A8" w14:textId="77777777" w:rsidR="002B6DE5" w:rsidRPr="003A58AA" w:rsidRDefault="002B6DE5" w:rsidP="00E32A48">
            <w:pPr>
              <w:jc w:val="center"/>
              <w:rPr>
                <w:sz w:val="22"/>
                <w:szCs w:val="22"/>
              </w:rPr>
            </w:pPr>
            <w:r w:rsidRPr="003A58AA">
              <w:rPr>
                <w:sz w:val="22"/>
                <w:szCs w:val="22"/>
              </w:rPr>
              <w:t>1,2</w:t>
            </w:r>
          </w:p>
        </w:tc>
        <w:tc>
          <w:tcPr>
            <w:tcW w:w="779" w:type="pct"/>
            <w:shd w:val="clear" w:color="auto" w:fill="auto"/>
            <w:noWrap/>
            <w:vAlign w:val="center"/>
            <w:hideMark/>
          </w:tcPr>
          <w:p w14:paraId="7F9C7DF4" w14:textId="77777777" w:rsidR="002B6DE5" w:rsidRPr="003A58AA" w:rsidRDefault="002B6DE5" w:rsidP="00E32A48">
            <w:pPr>
              <w:jc w:val="center"/>
              <w:rPr>
                <w:sz w:val="22"/>
                <w:szCs w:val="22"/>
              </w:rPr>
            </w:pPr>
            <w:r w:rsidRPr="003A58AA">
              <w:rPr>
                <w:sz w:val="22"/>
                <w:szCs w:val="22"/>
              </w:rPr>
              <w:t>1,54</w:t>
            </w:r>
          </w:p>
        </w:tc>
      </w:tr>
      <w:tr w:rsidR="00AB63C3" w:rsidRPr="003A58AA" w14:paraId="0EEEDB29" w14:textId="77777777" w:rsidTr="00AB63C3">
        <w:trPr>
          <w:trHeight w:val="300"/>
        </w:trPr>
        <w:tc>
          <w:tcPr>
            <w:tcW w:w="369" w:type="pct"/>
            <w:shd w:val="clear" w:color="auto" w:fill="auto"/>
            <w:noWrap/>
            <w:vAlign w:val="center"/>
            <w:hideMark/>
          </w:tcPr>
          <w:p w14:paraId="54008D4A" w14:textId="77777777" w:rsidR="002B6DE5" w:rsidRPr="003A58AA" w:rsidRDefault="002B6DE5" w:rsidP="00E32A48">
            <w:pPr>
              <w:jc w:val="center"/>
              <w:rPr>
                <w:sz w:val="22"/>
                <w:szCs w:val="22"/>
              </w:rPr>
            </w:pPr>
            <w:r w:rsidRPr="003A58AA">
              <w:rPr>
                <w:sz w:val="22"/>
                <w:szCs w:val="22"/>
              </w:rPr>
              <w:t>19</w:t>
            </w:r>
          </w:p>
        </w:tc>
        <w:tc>
          <w:tcPr>
            <w:tcW w:w="837" w:type="pct"/>
            <w:shd w:val="clear" w:color="auto" w:fill="auto"/>
            <w:noWrap/>
            <w:vAlign w:val="center"/>
            <w:hideMark/>
          </w:tcPr>
          <w:p w14:paraId="3439205B" w14:textId="77777777" w:rsidR="002B6DE5" w:rsidRPr="003A58AA" w:rsidRDefault="002B6DE5" w:rsidP="00E32A48">
            <w:pPr>
              <w:jc w:val="center"/>
              <w:rPr>
                <w:sz w:val="22"/>
                <w:szCs w:val="22"/>
              </w:rPr>
            </w:pPr>
            <w:r w:rsidRPr="003A58AA">
              <w:rPr>
                <w:sz w:val="22"/>
                <w:szCs w:val="22"/>
              </w:rPr>
              <w:t>0,65</w:t>
            </w:r>
          </w:p>
        </w:tc>
        <w:tc>
          <w:tcPr>
            <w:tcW w:w="446" w:type="pct"/>
            <w:shd w:val="clear" w:color="auto" w:fill="auto"/>
            <w:noWrap/>
            <w:vAlign w:val="center"/>
            <w:hideMark/>
          </w:tcPr>
          <w:p w14:paraId="0E9B200C" w14:textId="77777777" w:rsidR="002B6DE5" w:rsidRPr="003A58AA" w:rsidRDefault="002B6DE5" w:rsidP="00E32A48">
            <w:pPr>
              <w:jc w:val="center"/>
              <w:rPr>
                <w:sz w:val="22"/>
                <w:szCs w:val="22"/>
              </w:rPr>
            </w:pPr>
            <w:r w:rsidRPr="003A58AA">
              <w:rPr>
                <w:sz w:val="22"/>
                <w:szCs w:val="22"/>
              </w:rPr>
              <w:t>1,11</w:t>
            </w:r>
          </w:p>
        </w:tc>
        <w:tc>
          <w:tcPr>
            <w:tcW w:w="513" w:type="pct"/>
            <w:shd w:val="clear" w:color="auto" w:fill="auto"/>
            <w:noWrap/>
            <w:vAlign w:val="center"/>
            <w:hideMark/>
          </w:tcPr>
          <w:p w14:paraId="70292FCB" w14:textId="77777777" w:rsidR="002B6DE5" w:rsidRPr="003A58AA" w:rsidRDefault="002B6DE5" w:rsidP="00E32A48">
            <w:pPr>
              <w:jc w:val="center"/>
              <w:rPr>
                <w:sz w:val="22"/>
                <w:szCs w:val="22"/>
              </w:rPr>
            </w:pPr>
            <w:r w:rsidRPr="003A58AA">
              <w:rPr>
                <w:sz w:val="22"/>
                <w:szCs w:val="22"/>
              </w:rPr>
              <w:t>0,8</w:t>
            </w:r>
          </w:p>
        </w:tc>
        <w:tc>
          <w:tcPr>
            <w:tcW w:w="631" w:type="pct"/>
            <w:shd w:val="clear" w:color="auto" w:fill="auto"/>
            <w:noWrap/>
            <w:vAlign w:val="center"/>
            <w:hideMark/>
          </w:tcPr>
          <w:p w14:paraId="771B6ADD" w14:textId="77777777" w:rsidR="002B6DE5" w:rsidRPr="003A58AA" w:rsidRDefault="002B6DE5" w:rsidP="00E32A48">
            <w:pPr>
              <w:jc w:val="center"/>
              <w:rPr>
                <w:sz w:val="22"/>
                <w:szCs w:val="22"/>
              </w:rPr>
            </w:pPr>
            <w:r w:rsidRPr="003A58AA">
              <w:rPr>
                <w:sz w:val="22"/>
                <w:szCs w:val="22"/>
              </w:rPr>
              <w:t>1,45</w:t>
            </w:r>
          </w:p>
        </w:tc>
        <w:tc>
          <w:tcPr>
            <w:tcW w:w="705" w:type="pct"/>
            <w:shd w:val="clear" w:color="auto" w:fill="auto"/>
            <w:noWrap/>
            <w:vAlign w:val="center"/>
            <w:hideMark/>
          </w:tcPr>
          <w:p w14:paraId="71DFA4AE" w14:textId="77777777" w:rsidR="002B6DE5" w:rsidRPr="003A58AA" w:rsidRDefault="002B6DE5" w:rsidP="00E32A48">
            <w:pPr>
              <w:jc w:val="center"/>
              <w:rPr>
                <w:sz w:val="22"/>
                <w:szCs w:val="22"/>
              </w:rPr>
            </w:pPr>
            <w:r w:rsidRPr="003A58AA">
              <w:rPr>
                <w:sz w:val="22"/>
                <w:szCs w:val="22"/>
              </w:rPr>
              <w:t>-</w:t>
            </w:r>
          </w:p>
        </w:tc>
        <w:tc>
          <w:tcPr>
            <w:tcW w:w="719" w:type="pct"/>
            <w:shd w:val="clear" w:color="auto" w:fill="auto"/>
            <w:noWrap/>
            <w:vAlign w:val="center"/>
            <w:hideMark/>
          </w:tcPr>
          <w:p w14:paraId="2BBDA5EB" w14:textId="77777777" w:rsidR="002B6DE5" w:rsidRPr="003A58AA" w:rsidRDefault="002B6DE5" w:rsidP="00E32A48">
            <w:pPr>
              <w:jc w:val="center"/>
              <w:rPr>
                <w:sz w:val="22"/>
                <w:szCs w:val="22"/>
              </w:rPr>
            </w:pPr>
            <w:r w:rsidRPr="003A58AA">
              <w:rPr>
                <w:sz w:val="22"/>
                <w:szCs w:val="22"/>
              </w:rPr>
              <w:t>1,2</w:t>
            </w:r>
          </w:p>
        </w:tc>
        <w:tc>
          <w:tcPr>
            <w:tcW w:w="779" w:type="pct"/>
            <w:shd w:val="clear" w:color="auto" w:fill="auto"/>
            <w:noWrap/>
            <w:vAlign w:val="center"/>
            <w:hideMark/>
          </w:tcPr>
          <w:p w14:paraId="2592E1D8" w14:textId="77777777" w:rsidR="002B6DE5" w:rsidRPr="003A58AA" w:rsidRDefault="002B6DE5" w:rsidP="00E32A48">
            <w:pPr>
              <w:jc w:val="center"/>
              <w:rPr>
                <w:sz w:val="22"/>
                <w:szCs w:val="22"/>
              </w:rPr>
            </w:pPr>
            <w:r w:rsidRPr="003A58AA">
              <w:rPr>
                <w:sz w:val="22"/>
                <w:szCs w:val="22"/>
              </w:rPr>
              <w:t>1,56</w:t>
            </w:r>
          </w:p>
        </w:tc>
      </w:tr>
    </w:tbl>
    <w:p w14:paraId="4B5EEFB9" w14:textId="5DB21A1A" w:rsidR="002B6DE5" w:rsidRDefault="00AB63C3" w:rsidP="00AB63C3">
      <w:pPr>
        <w:ind w:firstLine="709"/>
        <w:jc w:val="both"/>
        <w:rPr>
          <w:rFonts w:eastAsia="Aptos"/>
          <w:bCs w:val="0"/>
          <w:kern w:val="2"/>
          <w:sz w:val="22"/>
          <w:szCs w:val="22"/>
          <w:lang w:eastAsia="en-US"/>
        </w:rPr>
      </w:pPr>
      <w:r w:rsidRPr="00AB63C3">
        <w:rPr>
          <w:rFonts w:eastAsia="Aptos"/>
          <w:bCs w:val="0"/>
          <w:kern w:val="2"/>
          <w:sz w:val="22"/>
          <w:szCs w:val="22"/>
          <w:lang w:val="en-US" w:eastAsia="en-US"/>
        </w:rPr>
        <w:t>The methods for calculating the equivalent stresses and the mathematical models of the sucker rod string operation used for selecting sucker rods do not fully account for the factors affecting the performance of the sucker rod string (such as the design features of the sucker rods and the strength properties of the material from which they are made), which leads to its failure.</w:t>
      </w:r>
    </w:p>
    <w:p w14:paraId="616A055C" w14:textId="77777777" w:rsidR="00AB63C3" w:rsidRPr="00AB63C3" w:rsidRDefault="00AB63C3" w:rsidP="0096048D">
      <w:pPr>
        <w:rPr>
          <w:sz w:val="22"/>
          <w:szCs w:val="22"/>
        </w:rPr>
      </w:pPr>
    </w:p>
    <w:p w14:paraId="141F6BAB" w14:textId="77777777" w:rsidR="002B6DE5" w:rsidRPr="003A58AA" w:rsidRDefault="002B6DE5" w:rsidP="0017667F">
      <w:pPr>
        <w:autoSpaceDE w:val="0"/>
        <w:autoSpaceDN w:val="0"/>
        <w:adjustRightInd w:val="0"/>
        <w:jc w:val="both"/>
        <w:rPr>
          <w:sz w:val="22"/>
          <w:szCs w:val="22"/>
          <w:lang w:val="en-US"/>
        </w:rPr>
      </w:pPr>
      <w:r w:rsidRPr="003A58AA">
        <w:rPr>
          <w:sz w:val="22"/>
          <w:szCs w:val="22"/>
          <w:lang w:val="en-US"/>
        </w:rPr>
        <w:t>REFERENCES:</w:t>
      </w:r>
    </w:p>
    <w:p w14:paraId="14724256" w14:textId="3AB3B657" w:rsidR="002B6DE5" w:rsidRPr="0017667F" w:rsidRDefault="002B6DE5" w:rsidP="0017667F">
      <w:pPr>
        <w:pStyle w:val="a7"/>
        <w:numPr>
          <w:ilvl w:val="0"/>
          <w:numId w:val="3"/>
        </w:numPr>
        <w:tabs>
          <w:tab w:val="left" w:pos="284"/>
        </w:tabs>
        <w:autoSpaceDE w:val="0"/>
        <w:autoSpaceDN w:val="0"/>
        <w:adjustRightInd w:val="0"/>
        <w:ind w:left="0" w:firstLine="0"/>
        <w:jc w:val="both"/>
        <w:rPr>
          <w:rFonts w:ascii="Times New Roman" w:hAnsi="Times New Roman"/>
          <w:lang w:val="en-US"/>
        </w:rPr>
      </w:pPr>
      <w:proofErr w:type="spellStart"/>
      <w:r w:rsidRPr="0017667F">
        <w:rPr>
          <w:rFonts w:ascii="Times New Roman" w:hAnsi="Times New Roman"/>
          <w:i/>
          <w:lang w:val="en-US"/>
        </w:rPr>
        <w:lastRenderedPageBreak/>
        <w:t>Serensen</w:t>
      </w:r>
      <w:proofErr w:type="spellEnd"/>
      <w:r w:rsidRPr="0017667F">
        <w:rPr>
          <w:rFonts w:ascii="Times New Roman" w:hAnsi="Times New Roman"/>
          <w:i/>
          <w:lang w:val="en-US"/>
        </w:rPr>
        <w:t xml:space="preserve"> S.V., </w:t>
      </w:r>
      <w:proofErr w:type="spellStart"/>
      <w:r w:rsidRPr="0017667F">
        <w:rPr>
          <w:rFonts w:ascii="Times New Roman" w:hAnsi="Times New Roman"/>
          <w:i/>
          <w:lang w:val="en-US"/>
        </w:rPr>
        <w:t>Kogaev</w:t>
      </w:r>
      <w:proofErr w:type="spellEnd"/>
      <w:r w:rsidRPr="0017667F">
        <w:rPr>
          <w:rFonts w:ascii="Times New Roman" w:hAnsi="Times New Roman"/>
          <w:i/>
          <w:lang w:val="en-US"/>
        </w:rPr>
        <w:t xml:space="preserve"> V.P.</w:t>
      </w:r>
      <w:r w:rsidRPr="0017667F">
        <w:rPr>
          <w:rFonts w:ascii="Times New Roman" w:hAnsi="Times New Roman"/>
          <w:lang w:val="en-US"/>
        </w:rPr>
        <w:t xml:space="preserve">, Bearing capacity and strength calculations of machine parts, Moscow: </w:t>
      </w:r>
      <w:proofErr w:type="spellStart"/>
      <w:r w:rsidRPr="0017667F">
        <w:rPr>
          <w:rFonts w:ascii="Times New Roman" w:hAnsi="Times New Roman"/>
          <w:lang w:val="en-US"/>
        </w:rPr>
        <w:t>Mashgiz</w:t>
      </w:r>
      <w:proofErr w:type="spellEnd"/>
      <w:r w:rsidRPr="0017667F">
        <w:rPr>
          <w:rFonts w:ascii="Times New Roman" w:hAnsi="Times New Roman"/>
          <w:lang w:val="en-US"/>
        </w:rPr>
        <w:t xml:space="preserve">, 1968, 488 p. </w:t>
      </w:r>
    </w:p>
    <w:p w14:paraId="7E678E18" w14:textId="18376BDA" w:rsidR="002B6DE5" w:rsidRPr="0017667F" w:rsidRDefault="002B6DE5" w:rsidP="0017667F">
      <w:pPr>
        <w:pStyle w:val="a7"/>
        <w:numPr>
          <w:ilvl w:val="0"/>
          <w:numId w:val="3"/>
        </w:numPr>
        <w:tabs>
          <w:tab w:val="left" w:pos="284"/>
        </w:tabs>
        <w:autoSpaceDE w:val="0"/>
        <w:autoSpaceDN w:val="0"/>
        <w:adjustRightInd w:val="0"/>
        <w:ind w:left="0" w:firstLine="0"/>
        <w:jc w:val="both"/>
        <w:rPr>
          <w:rFonts w:ascii="Times New Roman" w:hAnsi="Times New Roman"/>
          <w:lang w:val="en-US"/>
        </w:rPr>
      </w:pPr>
      <w:proofErr w:type="spellStart"/>
      <w:r w:rsidRPr="0017667F">
        <w:rPr>
          <w:rFonts w:ascii="Times New Roman" w:hAnsi="Times New Roman"/>
          <w:i/>
          <w:lang w:val="en-US"/>
        </w:rPr>
        <w:t>Markovets</w:t>
      </w:r>
      <w:proofErr w:type="spellEnd"/>
      <w:r w:rsidRPr="0017667F">
        <w:rPr>
          <w:rFonts w:ascii="Times New Roman" w:hAnsi="Times New Roman"/>
          <w:i/>
          <w:lang w:val="en-US"/>
        </w:rPr>
        <w:t xml:space="preserve"> M.P., </w:t>
      </w:r>
      <w:r w:rsidRPr="0017667F">
        <w:rPr>
          <w:rFonts w:ascii="Times New Roman" w:hAnsi="Times New Roman"/>
          <w:lang w:val="en-US"/>
        </w:rPr>
        <w:t>Textbook for the course strength of metals in equipment of nuclear power plants. - M.: MEI, 1979, 94 p.</w:t>
      </w:r>
      <w:r w:rsidRPr="0017667F">
        <w:rPr>
          <w:rFonts w:ascii="Times New Roman" w:hAnsi="Times New Roman"/>
          <w:i/>
          <w:lang w:val="en-US"/>
        </w:rPr>
        <w:t xml:space="preserve"> </w:t>
      </w:r>
    </w:p>
    <w:p w14:paraId="08A48B3F" w14:textId="21314218" w:rsidR="00876F7E" w:rsidRDefault="002B6DE5" w:rsidP="00E2001C">
      <w:pPr>
        <w:pStyle w:val="a7"/>
        <w:numPr>
          <w:ilvl w:val="0"/>
          <w:numId w:val="3"/>
        </w:numPr>
        <w:tabs>
          <w:tab w:val="left" w:pos="284"/>
        </w:tabs>
        <w:autoSpaceDE w:val="0"/>
        <w:autoSpaceDN w:val="0"/>
        <w:adjustRightInd w:val="0"/>
        <w:ind w:left="0" w:firstLine="0"/>
        <w:jc w:val="both"/>
        <w:rPr>
          <w:rFonts w:ascii="Times New Roman" w:hAnsi="Times New Roman"/>
          <w:lang w:val="en-US"/>
        </w:rPr>
      </w:pPr>
      <w:proofErr w:type="spellStart"/>
      <w:r w:rsidRPr="0017667F">
        <w:rPr>
          <w:rFonts w:ascii="Times New Roman" w:hAnsi="Times New Roman"/>
          <w:i/>
          <w:lang w:val="en-US"/>
        </w:rPr>
        <w:t>Oding</w:t>
      </w:r>
      <w:proofErr w:type="spellEnd"/>
      <w:r w:rsidRPr="0017667F">
        <w:rPr>
          <w:rFonts w:ascii="Times New Roman" w:hAnsi="Times New Roman"/>
          <w:i/>
          <w:lang w:val="en-US"/>
        </w:rPr>
        <w:t xml:space="preserve"> I.A.</w:t>
      </w:r>
      <w:r w:rsidRPr="0017667F">
        <w:rPr>
          <w:rFonts w:ascii="Times New Roman" w:hAnsi="Times New Roman"/>
          <w:lang w:val="en-US"/>
        </w:rPr>
        <w:t xml:space="preserve">, Permissible stresses in mechanical engineering, Moscow: </w:t>
      </w:r>
      <w:proofErr w:type="spellStart"/>
      <w:r w:rsidRPr="0017667F">
        <w:rPr>
          <w:rFonts w:ascii="Times New Roman" w:hAnsi="Times New Roman"/>
          <w:lang w:val="en-US"/>
        </w:rPr>
        <w:t>Mashgiz</w:t>
      </w:r>
      <w:proofErr w:type="spellEnd"/>
      <w:r w:rsidRPr="0017667F">
        <w:rPr>
          <w:rFonts w:ascii="Times New Roman" w:hAnsi="Times New Roman"/>
          <w:lang w:val="en-US"/>
        </w:rPr>
        <w:t xml:space="preserve">, 1962, 260 p. </w:t>
      </w:r>
    </w:p>
    <w:p w14:paraId="764C7C74" w14:textId="77777777" w:rsidR="00E2001C" w:rsidRPr="00E2001C" w:rsidRDefault="00E2001C" w:rsidP="00E2001C">
      <w:pPr>
        <w:pStyle w:val="a7"/>
        <w:tabs>
          <w:tab w:val="left" w:pos="284"/>
        </w:tabs>
        <w:autoSpaceDE w:val="0"/>
        <w:autoSpaceDN w:val="0"/>
        <w:adjustRightInd w:val="0"/>
        <w:ind w:left="0"/>
        <w:jc w:val="both"/>
        <w:rPr>
          <w:rFonts w:ascii="Times New Roman" w:hAnsi="Times New Roman"/>
          <w:iCs/>
          <w:lang w:val="en-US"/>
        </w:rPr>
      </w:pPr>
    </w:p>
    <w:sectPr w:rsidR="00E2001C" w:rsidRPr="00E2001C" w:rsidSect="00AE52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BA984" w14:textId="77777777" w:rsidR="00ED2331" w:rsidRDefault="00ED2331" w:rsidP="002B6DE5">
      <w:r>
        <w:separator/>
      </w:r>
    </w:p>
  </w:endnote>
  <w:endnote w:type="continuationSeparator" w:id="0">
    <w:p w14:paraId="0D87CBE0" w14:textId="77777777" w:rsidR="00ED2331" w:rsidRDefault="00ED2331" w:rsidP="002B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587C5" w14:textId="77777777" w:rsidR="00ED2331" w:rsidRDefault="00ED2331" w:rsidP="002B6DE5">
      <w:r>
        <w:separator/>
      </w:r>
    </w:p>
  </w:footnote>
  <w:footnote w:type="continuationSeparator" w:id="0">
    <w:p w14:paraId="4B9081C4" w14:textId="77777777" w:rsidR="00ED2331" w:rsidRDefault="00ED2331" w:rsidP="002B6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D7B4B"/>
    <w:multiLevelType w:val="hybridMultilevel"/>
    <w:tmpl w:val="386E1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F9578F"/>
    <w:multiLevelType w:val="hybridMultilevel"/>
    <w:tmpl w:val="0E287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43682C"/>
    <w:multiLevelType w:val="hybridMultilevel"/>
    <w:tmpl w:val="768A1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7321316">
    <w:abstractNumId w:val="2"/>
  </w:num>
  <w:num w:numId="2" w16cid:durableId="1357465098">
    <w:abstractNumId w:val="1"/>
  </w:num>
  <w:num w:numId="3" w16cid:durableId="1804807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7E"/>
    <w:rsid w:val="0017667F"/>
    <w:rsid w:val="00256042"/>
    <w:rsid w:val="00271F3A"/>
    <w:rsid w:val="00276AF3"/>
    <w:rsid w:val="002B6DE5"/>
    <w:rsid w:val="0030773B"/>
    <w:rsid w:val="0032408D"/>
    <w:rsid w:val="003613F5"/>
    <w:rsid w:val="003C0158"/>
    <w:rsid w:val="003D2556"/>
    <w:rsid w:val="004631EB"/>
    <w:rsid w:val="00466787"/>
    <w:rsid w:val="005042F7"/>
    <w:rsid w:val="00556213"/>
    <w:rsid w:val="005A4B53"/>
    <w:rsid w:val="005E317C"/>
    <w:rsid w:val="0063070D"/>
    <w:rsid w:val="00630BF9"/>
    <w:rsid w:val="00632E3E"/>
    <w:rsid w:val="006E5F67"/>
    <w:rsid w:val="0076767B"/>
    <w:rsid w:val="007C1667"/>
    <w:rsid w:val="0082610C"/>
    <w:rsid w:val="00876F7E"/>
    <w:rsid w:val="008B0652"/>
    <w:rsid w:val="0096048D"/>
    <w:rsid w:val="009C59B4"/>
    <w:rsid w:val="00A150A5"/>
    <w:rsid w:val="00A870E7"/>
    <w:rsid w:val="00AB63C3"/>
    <w:rsid w:val="00AE5223"/>
    <w:rsid w:val="00AF4146"/>
    <w:rsid w:val="00B11504"/>
    <w:rsid w:val="00B15DA0"/>
    <w:rsid w:val="00B32391"/>
    <w:rsid w:val="00BB11ED"/>
    <w:rsid w:val="00BF4DA5"/>
    <w:rsid w:val="00C3484A"/>
    <w:rsid w:val="00C774B9"/>
    <w:rsid w:val="00C91439"/>
    <w:rsid w:val="00CA4B42"/>
    <w:rsid w:val="00CE3F1A"/>
    <w:rsid w:val="00CF6679"/>
    <w:rsid w:val="00CF7962"/>
    <w:rsid w:val="00D1137B"/>
    <w:rsid w:val="00D21C56"/>
    <w:rsid w:val="00D54F95"/>
    <w:rsid w:val="00D6537E"/>
    <w:rsid w:val="00DB3375"/>
    <w:rsid w:val="00DD48E0"/>
    <w:rsid w:val="00DF0E18"/>
    <w:rsid w:val="00DF230D"/>
    <w:rsid w:val="00DF683C"/>
    <w:rsid w:val="00E2001C"/>
    <w:rsid w:val="00E32A48"/>
    <w:rsid w:val="00E45E2E"/>
    <w:rsid w:val="00ED2331"/>
    <w:rsid w:val="00F1119A"/>
    <w:rsid w:val="00F421B5"/>
    <w:rsid w:val="00FD164C"/>
    <w:rsid w:val="00FF2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09D79"/>
  <w15:chartTrackingRefBased/>
  <w15:docId w15:val="{3169C32C-A3CA-40BF-A91F-21CDF8D3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19A"/>
    <w:rPr>
      <w:rFonts w:ascii="Times New Roman" w:eastAsia="Times New Roman" w:hAnsi="Times New Roman"/>
      <w:bCs/>
      <w:sz w:val="24"/>
    </w:rPr>
  </w:style>
  <w:style w:type="paragraph" w:styleId="1">
    <w:name w:val="heading 1"/>
    <w:aliases w:val="ФИО авторов на русском,ФИО авторов"/>
    <w:basedOn w:val="a"/>
    <w:next w:val="a"/>
    <w:link w:val="10"/>
    <w:uiPriority w:val="9"/>
    <w:qFormat/>
    <w:rsid w:val="00256042"/>
    <w:pPr>
      <w:jc w:val="center"/>
      <w:outlineLvl w:val="0"/>
    </w:pPr>
    <w:rPr>
      <w:sz w:val="22"/>
      <w:szCs w:val="22"/>
    </w:rPr>
  </w:style>
  <w:style w:type="paragraph" w:styleId="2">
    <w:name w:val="heading 2"/>
    <w:aliases w:val="Название работы на русском,Название работы"/>
    <w:basedOn w:val="a"/>
    <w:next w:val="a"/>
    <w:link w:val="20"/>
    <w:uiPriority w:val="9"/>
    <w:unhideWhenUsed/>
    <w:qFormat/>
    <w:rsid w:val="00256042"/>
    <w:pPr>
      <w:jc w:val="center"/>
      <w:outlineLvl w:val="1"/>
    </w:pPr>
    <w:rPr>
      <w:sz w:val="22"/>
      <w:szCs w:val="22"/>
    </w:rPr>
  </w:style>
  <w:style w:type="paragraph" w:styleId="3">
    <w:name w:val="heading 3"/>
    <w:aliases w:val="Должность авторов"/>
    <w:basedOn w:val="a"/>
    <w:next w:val="a"/>
    <w:link w:val="30"/>
    <w:uiPriority w:val="9"/>
    <w:unhideWhenUsed/>
    <w:qFormat/>
    <w:rsid w:val="00C774B9"/>
    <w:pPr>
      <w:jc w:val="center"/>
      <w:outlineLvl w:val="2"/>
    </w:pPr>
    <w:rPr>
      <w:sz w:val="22"/>
      <w:szCs w:val="22"/>
    </w:rPr>
  </w:style>
  <w:style w:type="paragraph" w:styleId="4">
    <w:name w:val="heading 4"/>
    <w:aliases w:val="Место работы авторов"/>
    <w:basedOn w:val="a"/>
    <w:next w:val="a"/>
    <w:link w:val="40"/>
    <w:uiPriority w:val="9"/>
    <w:unhideWhenUsed/>
    <w:qFormat/>
    <w:rsid w:val="006E5F67"/>
    <w:pPr>
      <w:jc w:val="center"/>
      <w:outlineLvl w:val="3"/>
    </w:pPr>
    <w:rPr>
      <w:sz w:val="22"/>
      <w:szCs w:val="22"/>
    </w:rPr>
  </w:style>
  <w:style w:type="paragraph" w:styleId="5">
    <w:name w:val="heading 5"/>
    <w:aliases w:val="Научный руководитель участников,Научный руководитель авторов"/>
    <w:basedOn w:val="a"/>
    <w:next w:val="a"/>
    <w:link w:val="50"/>
    <w:uiPriority w:val="9"/>
    <w:unhideWhenUsed/>
    <w:qFormat/>
    <w:rsid w:val="00E45E2E"/>
    <w:pPr>
      <w:jc w:val="center"/>
      <w:outlineLvl w:val="4"/>
    </w:pPr>
    <w:rPr>
      <w:sz w:val="22"/>
      <w:szCs w:val="22"/>
    </w:rPr>
  </w:style>
  <w:style w:type="paragraph" w:styleId="6">
    <w:name w:val="heading 6"/>
    <w:basedOn w:val="a"/>
    <w:next w:val="a"/>
    <w:link w:val="60"/>
    <w:uiPriority w:val="9"/>
    <w:semiHidden/>
    <w:unhideWhenUsed/>
    <w:rsid w:val="002B6DE5"/>
    <w:pPr>
      <w:keepNext/>
      <w:keepLines/>
      <w:spacing w:before="40" w:line="259" w:lineRule="auto"/>
      <w:outlineLvl w:val="5"/>
    </w:pPr>
    <w:rPr>
      <w:rFonts w:ascii="Aptos" w:hAnsi="Aptos"/>
      <w:bCs w:val="0"/>
      <w:i/>
      <w:iCs/>
      <w:color w:val="595959"/>
      <w:kern w:val="2"/>
      <w:sz w:val="22"/>
      <w:szCs w:val="22"/>
      <w:lang w:eastAsia="en-US"/>
    </w:rPr>
  </w:style>
  <w:style w:type="paragraph" w:styleId="7">
    <w:name w:val="heading 7"/>
    <w:basedOn w:val="a"/>
    <w:next w:val="a"/>
    <w:link w:val="70"/>
    <w:uiPriority w:val="9"/>
    <w:semiHidden/>
    <w:unhideWhenUsed/>
    <w:qFormat/>
    <w:rsid w:val="002B6DE5"/>
    <w:pPr>
      <w:keepNext/>
      <w:keepLines/>
      <w:spacing w:before="40" w:line="259" w:lineRule="auto"/>
      <w:outlineLvl w:val="6"/>
    </w:pPr>
    <w:rPr>
      <w:rFonts w:ascii="Aptos" w:hAnsi="Aptos"/>
      <w:bCs w:val="0"/>
      <w:color w:val="595959"/>
      <w:kern w:val="2"/>
      <w:sz w:val="22"/>
      <w:szCs w:val="22"/>
      <w:lang w:eastAsia="en-US"/>
    </w:rPr>
  </w:style>
  <w:style w:type="paragraph" w:styleId="8">
    <w:name w:val="heading 8"/>
    <w:basedOn w:val="a"/>
    <w:next w:val="a"/>
    <w:link w:val="80"/>
    <w:uiPriority w:val="9"/>
    <w:semiHidden/>
    <w:unhideWhenUsed/>
    <w:qFormat/>
    <w:rsid w:val="002B6DE5"/>
    <w:pPr>
      <w:keepNext/>
      <w:keepLines/>
      <w:spacing w:line="259" w:lineRule="auto"/>
      <w:outlineLvl w:val="7"/>
    </w:pPr>
    <w:rPr>
      <w:rFonts w:ascii="Aptos" w:hAnsi="Aptos"/>
      <w:bCs w:val="0"/>
      <w:i/>
      <w:iCs/>
      <w:color w:val="272727"/>
      <w:kern w:val="2"/>
      <w:sz w:val="22"/>
      <w:szCs w:val="22"/>
      <w:lang w:eastAsia="en-US"/>
    </w:rPr>
  </w:style>
  <w:style w:type="paragraph" w:styleId="9">
    <w:name w:val="heading 9"/>
    <w:basedOn w:val="a"/>
    <w:next w:val="a"/>
    <w:link w:val="90"/>
    <w:uiPriority w:val="9"/>
    <w:semiHidden/>
    <w:unhideWhenUsed/>
    <w:qFormat/>
    <w:rsid w:val="002B6DE5"/>
    <w:pPr>
      <w:keepNext/>
      <w:keepLines/>
      <w:spacing w:line="259" w:lineRule="auto"/>
      <w:outlineLvl w:val="8"/>
    </w:pPr>
    <w:rPr>
      <w:rFonts w:ascii="Aptos" w:hAnsi="Aptos"/>
      <w:bCs w:val="0"/>
      <w:color w:val="272727"/>
      <w:kern w:val="2"/>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ФИО авторов на русском Знак,ФИО авторов Знак"/>
    <w:link w:val="1"/>
    <w:uiPriority w:val="9"/>
    <w:rsid w:val="00256042"/>
    <w:rPr>
      <w:rFonts w:ascii="Times New Roman" w:eastAsia="Times New Roman" w:hAnsi="Times New Roman"/>
      <w:bCs/>
      <w:sz w:val="22"/>
      <w:szCs w:val="22"/>
    </w:rPr>
  </w:style>
  <w:style w:type="character" w:customStyle="1" w:styleId="20">
    <w:name w:val="Заголовок 2 Знак"/>
    <w:aliases w:val="Название работы на русском Знак,Название работы Знак"/>
    <w:link w:val="2"/>
    <w:uiPriority w:val="9"/>
    <w:rsid w:val="00256042"/>
    <w:rPr>
      <w:rFonts w:ascii="Times New Roman" w:eastAsia="Times New Roman" w:hAnsi="Times New Roman"/>
      <w:bCs/>
      <w:sz w:val="22"/>
      <w:szCs w:val="22"/>
    </w:rPr>
  </w:style>
  <w:style w:type="character" w:customStyle="1" w:styleId="30">
    <w:name w:val="Заголовок 3 Знак"/>
    <w:aliases w:val="Должность авторов Знак"/>
    <w:link w:val="3"/>
    <w:uiPriority w:val="9"/>
    <w:rsid w:val="00C774B9"/>
    <w:rPr>
      <w:rFonts w:ascii="Times New Roman" w:eastAsia="Times New Roman" w:hAnsi="Times New Roman"/>
      <w:bCs/>
      <w:sz w:val="22"/>
      <w:szCs w:val="22"/>
    </w:rPr>
  </w:style>
  <w:style w:type="character" w:customStyle="1" w:styleId="40">
    <w:name w:val="Заголовок 4 Знак"/>
    <w:aliases w:val="Место работы авторов Знак"/>
    <w:link w:val="4"/>
    <w:uiPriority w:val="9"/>
    <w:rsid w:val="006E5F67"/>
    <w:rPr>
      <w:rFonts w:ascii="Times New Roman" w:eastAsia="Times New Roman" w:hAnsi="Times New Roman"/>
      <w:bCs/>
      <w:sz w:val="22"/>
      <w:szCs w:val="22"/>
    </w:rPr>
  </w:style>
  <w:style w:type="character" w:customStyle="1" w:styleId="50">
    <w:name w:val="Заголовок 5 Знак"/>
    <w:aliases w:val="Научный руководитель участников Знак,Научный руководитель авторов Знак"/>
    <w:link w:val="5"/>
    <w:uiPriority w:val="9"/>
    <w:rsid w:val="00E45E2E"/>
    <w:rPr>
      <w:rFonts w:ascii="Times New Roman" w:eastAsia="Times New Roman" w:hAnsi="Times New Roman"/>
      <w:bCs/>
      <w:sz w:val="22"/>
      <w:szCs w:val="22"/>
    </w:rPr>
  </w:style>
  <w:style w:type="character" w:customStyle="1" w:styleId="60">
    <w:name w:val="Заголовок 6 Знак"/>
    <w:link w:val="6"/>
    <w:uiPriority w:val="9"/>
    <w:semiHidden/>
    <w:rsid w:val="002B6DE5"/>
    <w:rPr>
      <w:rFonts w:eastAsia="Times New Roman" w:cs="Times New Roman"/>
      <w:i/>
      <w:iCs/>
      <w:color w:val="595959"/>
    </w:rPr>
  </w:style>
  <w:style w:type="character" w:customStyle="1" w:styleId="70">
    <w:name w:val="Заголовок 7 Знак"/>
    <w:link w:val="7"/>
    <w:uiPriority w:val="9"/>
    <w:semiHidden/>
    <w:rsid w:val="002B6DE5"/>
    <w:rPr>
      <w:rFonts w:eastAsia="Times New Roman" w:cs="Times New Roman"/>
      <w:color w:val="595959"/>
    </w:rPr>
  </w:style>
  <w:style w:type="character" w:customStyle="1" w:styleId="80">
    <w:name w:val="Заголовок 8 Знак"/>
    <w:link w:val="8"/>
    <w:uiPriority w:val="9"/>
    <w:semiHidden/>
    <w:rsid w:val="002B6DE5"/>
    <w:rPr>
      <w:rFonts w:eastAsia="Times New Roman" w:cs="Times New Roman"/>
      <w:i/>
      <w:iCs/>
      <w:color w:val="272727"/>
    </w:rPr>
  </w:style>
  <w:style w:type="character" w:customStyle="1" w:styleId="90">
    <w:name w:val="Заголовок 9 Знак"/>
    <w:link w:val="9"/>
    <w:uiPriority w:val="9"/>
    <w:semiHidden/>
    <w:rsid w:val="002B6DE5"/>
    <w:rPr>
      <w:rFonts w:eastAsia="Times New Roman" w:cs="Times New Roman"/>
      <w:color w:val="272727"/>
    </w:rPr>
  </w:style>
  <w:style w:type="paragraph" w:styleId="a3">
    <w:name w:val="Title"/>
    <w:basedOn w:val="a"/>
    <w:next w:val="a"/>
    <w:link w:val="a4"/>
    <w:uiPriority w:val="10"/>
    <w:rsid w:val="002B6DE5"/>
    <w:pPr>
      <w:spacing w:after="80"/>
      <w:contextualSpacing/>
    </w:pPr>
    <w:rPr>
      <w:rFonts w:ascii="Aptos Display" w:hAnsi="Aptos Display"/>
      <w:bCs w:val="0"/>
      <w:spacing w:val="-10"/>
      <w:kern w:val="28"/>
      <w:sz w:val="56"/>
      <w:szCs w:val="56"/>
      <w:lang w:eastAsia="en-US"/>
    </w:rPr>
  </w:style>
  <w:style w:type="character" w:customStyle="1" w:styleId="a4">
    <w:name w:val="Заголовок Знак"/>
    <w:link w:val="a3"/>
    <w:uiPriority w:val="10"/>
    <w:rsid w:val="002B6DE5"/>
    <w:rPr>
      <w:rFonts w:ascii="Aptos Display" w:eastAsia="Times New Roman" w:hAnsi="Aptos Display" w:cs="Times New Roman"/>
      <w:spacing w:val="-10"/>
      <w:kern w:val="28"/>
      <w:sz w:val="56"/>
      <w:szCs w:val="56"/>
    </w:rPr>
  </w:style>
  <w:style w:type="paragraph" w:styleId="a5">
    <w:name w:val="Subtitle"/>
    <w:basedOn w:val="a"/>
    <w:next w:val="a"/>
    <w:link w:val="a6"/>
    <w:uiPriority w:val="11"/>
    <w:rsid w:val="002B6DE5"/>
    <w:pPr>
      <w:numPr>
        <w:ilvl w:val="1"/>
      </w:numPr>
      <w:spacing w:after="160" w:line="259" w:lineRule="auto"/>
    </w:pPr>
    <w:rPr>
      <w:rFonts w:ascii="Aptos" w:hAnsi="Aptos"/>
      <w:bCs w:val="0"/>
      <w:color w:val="595959"/>
      <w:spacing w:val="15"/>
      <w:kern w:val="2"/>
      <w:sz w:val="28"/>
      <w:szCs w:val="28"/>
      <w:lang w:eastAsia="en-US"/>
    </w:rPr>
  </w:style>
  <w:style w:type="character" w:customStyle="1" w:styleId="a6">
    <w:name w:val="Подзаголовок Знак"/>
    <w:link w:val="a5"/>
    <w:uiPriority w:val="11"/>
    <w:rsid w:val="002B6DE5"/>
    <w:rPr>
      <w:rFonts w:eastAsia="Times New Roman" w:cs="Times New Roman"/>
      <w:color w:val="595959"/>
      <w:spacing w:val="15"/>
      <w:sz w:val="28"/>
      <w:szCs w:val="28"/>
    </w:rPr>
  </w:style>
  <w:style w:type="paragraph" w:styleId="21">
    <w:name w:val="Quote"/>
    <w:basedOn w:val="a"/>
    <w:next w:val="a"/>
    <w:link w:val="22"/>
    <w:uiPriority w:val="29"/>
    <w:rsid w:val="002B6DE5"/>
    <w:pPr>
      <w:spacing w:before="160" w:after="160" w:line="259" w:lineRule="auto"/>
      <w:jc w:val="center"/>
    </w:pPr>
    <w:rPr>
      <w:rFonts w:ascii="Aptos" w:eastAsia="Aptos" w:hAnsi="Aptos"/>
      <w:bCs w:val="0"/>
      <w:i/>
      <w:iCs/>
      <w:color w:val="404040"/>
      <w:kern w:val="2"/>
      <w:sz w:val="22"/>
      <w:szCs w:val="22"/>
      <w:lang w:eastAsia="en-US"/>
    </w:rPr>
  </w:style>
  <w:style w:type="character" w:customStyle="1" w:styleId="22">
    <w:name w:val="Цитата 2 Знак"/>
    <w:link w:val="21"/>
    <w:uiPriority w:val="29"/>
    <w:rsid w:val="002B6DE5"/>
    <w:rPr>
      <w:i/>
      <w:iCs/>
      <w:color w:val="404040"/>
    </w:rPr>
  </w:style>
  <w:style w:type="paragraph" w:styleId="a7">
    <w:name w:val="List Paragraph"/>
    <w:basedOn w:val="a"/>
    <w:uiPriority w:val="34"/>
    <w:rsid w:val="002B6DE5"/>
    <w:pPr>
      <w:spacing w:after="160" w:line="259" w:lineRule="auto"/>
      <w:ind w:left="720"/>
      <w:contextualSpacing/>
    </w:pPr>
    <w:rPr>
      <w:rFonts w:ascii="Aptos" w:eastAsia="Aptos" w:hAnsi="Aptos"/>
      <w:bCs w:val="0"/>
      <w:kern w:val="2"/>
      <w:sz w:val="22"/>
      <w:szCs w:val="22"/>
      <w:lang w:eastAsia="en-US"/>
    </w:rPr>
  </w:style>
  <w:style w:type="character" w:styleId="a8">
    <w:name w:val="Intense Emphasis"/>
    <w:uiPriority w:val="21"/>
    <w:rsid w:val="002B6DE5"/>
    <w:rPr>
      <w:i/>
      <w:iCs/>
      <w:color w:val="0F4761"/>
    </w:rPr>
  </w:style>
  <w:style w:type="paragraph" w:styleId="a9">
    <w:name w:val="Intense Quote"/>
    <w:basedOn w:val="a"/>
    <w:next w:val="a"/>
    <w:link w:val="aa"/>
    <w:uiPriority w:val="30"/>
    <w:rsid w:val="002B6DE5"/>
    <w:pPr>
      <w:pBdr>
        <w:top w:val="single" w:sz="4" w:space="10" w:color="0F4761"/>
        <w:bottom w:val="single" w:sz="4" w:space="10" w:color="0F4761"/>
      </w:pBdr>
      <w:spacing w:before="360" w:after="360" w:line="259" w:lineRule="auto"/>
      <w:ind w:left="864" w:right="864"/>
      <w:jc w:val="center"/>
    </w:pPr>
    <w:rPr>
      <w:rFonts w:ascii="Aptos" w:eastAsia="Aptos" w:hAnsi="Aptos"/>
      <w:bCs w:val="0"/>
      <w:i/>
      <w:iCs/>
      <w:color w:val="0F4761"/>
      <w:kern w:val="2"/>
      <w:sz w:val="22"/>
      <w:szCs w:val="22"/>
      <w:lang w:eastAsia="en-US"/>
    </w:rPr>
  </w:style>
  <w:style w:type="character" w:customStyle="1" w:styleId="aa">
    <w:name w:val="Выделенная цитата Знак"/>
    <w:link w:val="a9"/>
    <w:uiPriority w:val="30"/>
    <w:rsid w:val="002B6DE5"/>
    <w:rPr>
      <w:i/>
      <w:iCs/>
      <w:color w:val="0F4761"/>
    </w:rPr>
  </w:style>
  <w:style w:type="character" w:styleId="ab">
    <w:name w:val="Intense Reference"/>
    <w:uiPriority w:val="32"/>
    <w:rsid w:val="002B6DE5"/>
    <w:rPr>
      <w:b/>
      <w:bCs/>
      <w:smallCaps/>
      <w:color w:val="0F4761"/>
      <w:spacing w:val="5"/>
    </w:rPr>
  </w:style>
  <w:style w:type="paragraph" w:styleId="ac">
    <w:name w:val="header"/>
    <w:basedOn w:val="a"/>
    <w:link w:val="ad"/>
    <w:rsid w:val="002B6DE5"/>
    <w:pPr>
      <w:tabs>
        <w:tab w:val="center" w:pos="4677"/>
        <w:tab w:val="right" w:pos="9355"/>
      </w:tabs>
    </w:pPr>
  </w:style>
  <w:style w:type="character" w:customStyle="1" w:styleId="ad">
    <w:name w:val="Верхний колонтитул Знак"/>
    <w:link w:val="ac"/>
    <w:rsid w:val="002B6DE5"/>
    <w:rPr>
      <w:rFonts w:ascii="Times New Roman" w:eastAsia="Times New Roman" w:hAnsi="Times New Roman" w:cs="Times New Roman"/>
      <w:bCs/>
      <w:kern w:val="0"/>
      <w:sz w:val="24"/>
      <w:szCs w:val="20"/>
      <w:lang w:eastAsia="ru-RU"/>
    </w:rPr>
  </w:style>
  <w:style w:type="paragraph" w:styleId="ae">
    <w:name w:val="footer"/>
    <w:basedOn w:val="a"/>
    <w:link w:val="af"/>
    <w:uiPriority w:val="99"/>
    <w:rsid w:val="002B6DE5"/>
    <w:pPr>
      <w:tabs>
        <w:tab w:val="center" w:pos="4677"/>
        <w:tab w:val="right" w:pos="9355"/>
      </w:tabs>
    </w:pPr>
  </w:style>
  <w:style w:type="character" w:customStyle="1" w:styleId="af">
    <w:name w:val="Нижний колонтитул Знак"/>
    <w:link w:val="ae"/>
    <w:uiPriority w:val="99"/>
    <w:rsid w:val="002B6DE5"/>
    <w:rPr>
      <w:rFonts w:ascii="Times New Roman" w:eastAsia="Times New Roman" w:hAnsi="Times New Roman" w:cs="Times New Roman"/>
      <w:bCs/>
      <w:kern w:val="0"/>
      <w:sz w:val="24"/>
      <w:szCs w:val="20"/>
      <w:lang w:eastAsia="ru-RU"/>
    </w:rPr>
  </w:style>
  <w:style w:type="table" w:styleId="af0">
    <w:name w:val="Table Grid"/>
    <w:basedOn w:val="a1"/>
    <w:uiPriority w:val="39"/>
    <w:rsid w:val="002B6D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customXml" Target="ink/ink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8;&#1074;&#1072;&#1085;\Downloads\&#1064;&#1072;&#1073;&#1083;&#1086;&#1085;_&#1087;&#1086;_&#1086;&#1092;&#1086;&#1088;&#1084;&#1083;&#1077;&#1085;&#1080;&#1102;_&#1058;&#1045;&#1047;&#1048;&#1057;&#1054;&#1042;_&#1082;&#1086;&#1085;&#1092;&#1077;&#1088;&#1077;&#1085;&#1094;&#1080;&#1080;_&#171;_&#1053;&#1077;&#1092;&#1090;&#1100;_&#1080;_&#1075;&#1072;&#1079;&#187;2024.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pie3DChart>
        <c:varyColors val="1"/>
        <c:ser>
          <c:idx val="0"/>
          <c:order val="0"/>
          <c:tx>
            <c:strRef>
              <c:f>Лист1!$B$1</c:f>
              <c:strCache>
                <c:ptCount val="1"/>
                <c:pt idx="0">
                  <c:v>Фонд скважин</c:v>
                </c:pt>
              </c:strCache>
            </c:strRef>
          </c:tx>
          <c:explosion val="25"/>
          <c:dPt>
            <c:idx val="0"/>
            <c:bubble3D val="0"/>
            <c:extLst>
              <c:ext xmlns:c16="http://schemas.microsoft.com/office/drawing/2014/chart" uri="{C3380CC4-5D6E-409C-BE32-E72D297353CC}">
                <c16:uniqueId val="{00000000-0108-4A27-BDE4-2D29CF4250BB}"/>
              </c:ext>
            </c:extLst>
          </c:dPt>
          <c:dPt>
            <c:idx val="1"/>
            <c:bubble3D val="0"/>
            <c:extLst>
              <c:ext xmlns:c16="http://schemas.microsoft.com/office/drawing/2014/chart" uri="{C3380CC4-5D6E-409C-BE32-E72D297353CC}">
                <c16:uniqueId val="{00000001-0108-4A27-BDE4-2D29CF4250BB}"/>
              </c:ext>
            </c:extLst>
          </c:dPt>
          <c:dPt>
            <c:idx val="2"/>
            <c:bubble3D val="0"/>
            <c:extLst>
              <c:ext xmlns:c16="http://schemas.microsoft.com/office/drawing/2014/chart" uri="{C3380CC4-5D6E-409C-BE32-E72D297353CC}">
                <c16:uniqueId val="{00000002-0108-4A27-BDE4-2D29CF4250BB}"/>
              </c:ext>
            </c:extLst>
          </c:dPt>
          <c:dPt>
            <c:idx val="3"/>
            <c:bubble3D val="0"/>
            <c:extLst>
              <c:ext xmlns:c16="http://schemas.microsoft.com/office/drawing/2014/chart" uri="{C3380CC4-5D6E-409C-BE32-E72D297353CC}">
                <c16:uniqueId val="{00000003-0108-4A27-BDE4-2D29CF4250BB}"/>
              </c:ext>
            </c:extLst>
          </c:dPt>
          <c:dPt>
            <c:idx val="4"/>
            <c:bubble3D val="0"/>
            <c:extLst>
              <c:ext xmlns:c16="http://schemas.microsoft.com/office/drawing/2014/chart" uri="{C3380CC4-5D6E-409C-BE32-E72D297353CC}">
                <c16:uniqueId val="{00000004-0108-4A27-BDE4-2D29CF4250BB}"/>
              </c:ext>
            </c:extLst>
          </c:dPt>
          <c:dLbls>
            <c:dLbl>
              <c:idx val="0"/>
              <c:layout>
                <c:manualLayout>
                  <c:x val="6.129155730533685E-2"/>
                  <c:y val="-2.2297212848393949E-2"/>
                </c:manualLayout>
              </c:layout>
              <c:spPr>
                <a:noFill/>
                <a:ln w="25398">
                  <a:noFill/>
                </a:ln>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08-4A27-BDE4-2D29CF4250BB}"/>
                </c:ext>
              </c:extLst>
            </c:dLbl>
            <c:dLbl>
              <c:idx val="1"/>
              <c:layout>
                <c:manualLayout>
                  <c:x val="-0.15929717118693507"/>
                  <c:y val="-0.10298681414823146"/>
                </c:manualLayout>
              </c:layout>
              <c:spPr>
                <a:noFill/>
                <a:ln w="25398">
                  <a:noFill/>
                </a:ln>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08-4A27-BDE4-2D29CF4250BB}"/>
                </c:ext>
              </c:extLst>
            </c:dLbl>
            <c:dLbl>
              <c:idx val="2"/>
              <c:layout>
                <c:manualLayout>
                  <c:x val="0.13037164625255165"/>
                  <c:y val="3.3306774153230807E-2"/>
                </c:manualLayout>
              </c:layout>
              <c:spPr>
                <a:noFill/>
                <a:ln w="25398">
                  <a:noFill/>
                </a:ln>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108-4A27-BDE4-2D29CF4250BB}"/>
                </c:ext>
              </c:extLst>
            </c:dLbl>
            <c:dLbl>
              <c:idx val="3"/>
              <c:layout>
                <c:manualLayout>
                  <c:x val="-4.6011410032079321E-2"/>
                  <c:y val="-2.2177227846519203E-2"/>
                </c:manualLayout>
              </c:layout>
              <c:spPr>
                <a:noFill/>
                <a:ln w="25398">
                  <a:noFill/>
                </a:ln>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108-4A27-BDE4-2D29CF4250BB}"/>
                </c:ext>
              </c:extLst>
            </c:dLbl>
            <c:dLbl>
              <c:idx val="4"/>
              <c:layout>
                <c:manualLayout>
                  <c:x val="1.791393263342082E-2"/>
                  <c:y val="-6.6202662167229101E-2"/>
                </c:manualLayout>
              </c:layout>
              <c:spPr>
                <a:noFill/>
                <a:ln w="25398">
                  <a:noFill/>
                </a:ln>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108-4A27-BDE4-2D29CF4250BB}"/>
                </c:ext>
              </c:extLst>
            </c:dLbl>
            <c:spPr>
              <a:noFill/>
              <a:ln w="25398">
                <a:noFill/>
              </a:ln>
            </c:sp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Fountain Flowing</c:v>
                </c:pt>
                <c:pt idx="1">
                  <c:v>Electric Submersible Pump (ESP)</c:v>
                </c:pt>
                <c:pt idx="2">
                  <c:v>Well rod pump installation</c:v>
                </c:pt>
                <c:pt idx="3">
                  <c:v>Gas Lift</c:v>
                </c:pt>
                <c:pt idx="4">
                  <c:v>Others</c:v>
                </c:pt>
              </c:strCache>
            </c:strRef>
          </c:cat>
          <c:val>
            <c:numRef>
              <c:f>Лист1!$B$2:$B$6</c:f>
              <c:numCache>
                <c:formatCode>0%</c:formatCode>
                <c:ptCount val="5"/>
                <c:pt idx="0" formatCode="0.00%">
                  <c:v>1.7999999999999999E-2</c:v>
                </c:pt>
                <c:pt idx="1">
                  <c:v>0.63</c:v>
                </c:pt>
                <c:pt idx="2" formatCode="0.0%">
                  <c:v>0.33700000000000002</c:v>
                </c:pt>
                <c:pt idx="3" formatCode="0.00%">
                  <c:v>4.0000000000000001E-3</c:v>
                </c:pt>
                <c:pt idx="4" formatCode="0.00%">
                  <c:v>1.0999999999999999E-2</c:v>
                </c:pt>
              </c:numCache>
            </c:numRef>
          </c:val>
          <c:extLst>
            <c:ext xmlns:c16="http://schemas.microsoft.com/office/drawing/2014/chart" uri="{C3380CC4-5D6E-409C-BE32-E72D297353CC}">
              <c16:uniqueId val="{00000005-0108-4A27-BDE4-2D29CF4250BB}"/>
            </c:ext>
          </c:extLst>
        </c:ser>
        <c:dLbls>
          <c:showLegendKey val="0"/>
          <c:showVal val="0"/>
          <c:showCatName val="0"/>
          <c:showSerName val="0"/>
          <c:showPercent val="0"/>
          <c:showBubbleSize val="0"/>
          <c:showLeaderLines val="1"/>
        </c:dLbls>
      </c:pie3DChart>
      <c:spPr>
        <a:noFill/>
        <a:ln w="25398">
          <a:noFill/>
        </a:ln>
      </c:spPr>
    </c:plotArea>
    <c:legend>
      <c:legendPos val="r"/>
      <c:overlay val="0"/>
    </c:legend>
    <c:plotVisOnly val="1"/>
    <c:dispBlanksAs val="zero"/>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17T07:41:52.496"/>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17T07:41:52.152"/>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1 0,'4'0,"2"0</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Шаблон_по_оформлению_ТЕЗИСОВ_конференции_«_Нефть_и_газ»2024</Template>
  <TotalTime>2</TotalTime>
  <Pages>2</Pages>
  <Words>400</Words>
  <Characters>2283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Ксюша</cp:lastModifiedBy>
  <cp:revision>2</cp:revision>
  <dcterms:created xsi:type="dcterms:W3CDTF">2024-10-30T08:52:00Z</dcterms:created>
  <dcterms:modified xsi:type="dcterms:W3CDTF">2024-10-30T08:52:00Z</dcterms:modified>
</cp:coreProperties>
</file>