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jc w:val="center"/>
        <w:rPr>
          <w:rFonts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课程及授课专家名单</w:t>
      </w:r>
    </w:p>
    <w:tbl>
      <w:tblPr>
        <w:tblStyle w:val="6"/>
        <w:tblpPr w:leftFromText="180" w:rightFromText="180" w:vertAnchor="text" w:horzAnchor="page" w:tblpXSpec="center" w:tblpY="327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1"/>
        <w:gridCol w:w="3146"/>
        <w:gridCol w:w="2345"/>
        <w:gridCol w:w="2126"/>
      </w:tblGrid>
      <w:tr>
        <w:trPr>
          <w:trHeight w:val="636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学科交叉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自然语言处理与网络舆情监控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俄亥俄州立大学副教授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语言学、计算机科学、数学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人工智能与云计算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麦吉尔大学、纽约大学教授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计算机科学、人工智能</w:t>
            </w:r>
          </w:p>
        </w:tc>
      </w:tr>
      <w:tr>
        <w:trPr>
          <w:trHeight w:val="2239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人工智能时代下的机器人设计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纽约大学教授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人工智能、计算机科学、机器人工程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人工智能与公共卫生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加州大学洛杉矶分校教授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机器学习、数据科学、公共卫生</w:t>
            </w:r>
          </w:p>
        </w:tc>
      </w:tr>
      <w:tr>
        <w:trPr>
          <w:trHeight w:val="2239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数据科学与商业分析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弗吉尼亚大学教授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媒体与营销、商业分析、数据科学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大数据与城市规划：节能建筑及能源系统设计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伦敦大学学院讲师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建筑设计、城市规划、数据分析</w:t>
            </w:r>
          </w:p>
        </w:tc>
      </w:tr>
      <w:tr>
        <w:trPr>
          <w:trHeight w:val="636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数字经济与整合营销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莱斯大学教授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战略管理、消费者行为</w:t>
            </w:r>
          </w:p>
        </w:tc>
      </w:tr>
      <w:tr>
        <w:trPr>
          <w:trHeight w:val="2239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数据科学在大数据金融行业中的应用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加州大学河滨分校讲师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计算机和信息技术、统计学、金融学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5G与无线通讯技术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爱丁堡大学教授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电气工程、电子工程、通信工程</w:t>
            </w:r>
          </w:p>
        </w:tc>
      </w:tr>
      <w:tr>
        <w:trPr>
          <w:trHeight w:val="1170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元宇宙时代的区块链与信息安全构建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纽约大学教授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信息安全、通信工程</w:t>
            </w:r>
          </w:p>
        </w:tc>
      </w:tr>
      <w:tr>
        <w:trPr>
          <w:trHeight w:val="2239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媒体艺术与社会性别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加州大学伯克利分校、约翰霍普金斯大学教授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社会学、传媒学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人工智能如何赋能教育数字化转型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加州大学洛杉矶分校教授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教育学、人工智能、机器学习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现代农业与生物质能源研究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昆士兰大学教授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农业、生物工程、加工工程</w:t>
            </w:r>
          </w:p>
        </w:tc>
      </w:tr>
      <w:tr>
        <w:trPr>
          <w:trHeight w:val="2239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压力情绪健康管理和心理认知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墨尔本大学教授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音乐心理学、音乐治疗、创意艺术</w:t>
            </w:r>
          </w:p>
        </w:tc>
      </w:tr>
      <w:tr>
        <w:trPr>
          <w:trHeight w:val="636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数字经济与智能金融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莱斯大学教授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数学、计算机、经济学、管理学</w:t>
            </w:r>
          </w:p>
        </w:tc>
      </w:tr>
      <w:tr>
        <w:trPr>
          <w:trHeight w:val="1170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大数据时代下大众传播策略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维克森林大学教授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计算机科学、传播学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体育经济与市场营销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巴黎萨克雷大学教授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市场营销、管理学、经济学</w:t>
            </w:r>
          </w:p>
        </w:tc>
      </w:tr>
      <w:tr>
        <w:trPr>
          <w:trHeight w:val="1170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创新实践与领导力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香港中文大学教授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管理学、经济学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能源经济管理与可持续发展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爱丁堡大学教授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能源科学与工程、管理学、经济学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金融市场与法律监管的机遇与挑战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哥伦比亚大学讲师、纽约大学兼职副教授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金融、法律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基于社会学习、公平与发展的教育心理学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伦敦大学学院教授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心理学、教育学、应用教育心理学</w:t>
            </w:r>
          </w:p>
        </w:tc>
      </w:tr>
      <w:tr>
        <w:trPr>
          <w:trHeight w:val="1170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新信息时代下的人际关系传播的思考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维克森林大学教授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传播学、公共关系</w:t>
            </w:r>
          </w:p>
        </w:tc>
      </w:tr>
      <w:tr>
        <w:trPr>
          <w:trHeight w:val="2239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博弈论分析与实践：以全球环境问题为例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伦敦大学学院教授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环境经济学、微观经济学、行为经济学</w:t>
            </w:r>
          </w:p>
        </w:tc>
      </w:tr>
      <w:tr>
        <w:trPr>
          <w:trHeight w:val="1704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人类发展中的文化记忆与创意设计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曼彻斯特大学教授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人类学、艺术史、建筑与设计研究</w:t>
            </w:r>
          </w:p>
        </w:tc>
      </w:tr>
      <w:tr>
        <w:trPr>
          <w:trHeight w:val="1170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以游戏为例:概率与统计的应用与探索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苏黎世联邦理工大学教授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统计学、概率论</w:t>
            </w:r>
          </w:p>
        </w:tc>
      </w:tr>
      <w:tr>
        <w:trPr>
          <w:trHeight w:val="1715" w:hRule="atLeast"/>
        </w:trPr>
        <w:tc>
          <w:tcPr>
            <w:tcW w:w="11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14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当代组织中人际行为的基础理论</w:t>
            </w:r>
          </w:p>
        </w:tc>
        <w:tc>
          <w:tcPr>
            <w:tcW w:w="23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南加利福尼亚大学教授</w:t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心理学、社会学、管理学</w:t>
            </w:r>
          </w:p>
        </w:tc>
      </w:tr>
    </w:tbl>
    <w:p/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footerReference r:id="rId3" w:type="even"/>
          <w:pgSz w:w="11905" w:h="16840"/>
          <w:pgMar w:top="1440" w:right="1800" w:bottom="1440" w:left="1800" w:header="720" w:footer="720" w:gutter="0"/>
          <w:cols w:space="720" w:num="1"/>
        </w:sectPr>
      </w:pPr>
    </w:p>
    <w:p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6"/>
        <w:tblpPr w:leftFromText="180" w:rightFromText="180" w:vertAnchor="text" w:horzAnchor="margin" w:tblpY="860"/>
        <w:tblOverlap w:val="never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66"/>
        <w:gridCol w:w="4627"/>
        <w:gridCol w:w="1886"/>
      </w:tblGrid>
      <w:tr>
        <w:trPr>
          <w:trHeight w:val="90" w:hRule="atLeast"/>
        </w:trPr>
        <w:tc>
          <w:tcPr>
            <w:tcW w:w="206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88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课时（45分钟/课时）</w:t>
            </w:r>
          </w:p>
        </w:tc>
      </w:tr>
      <w:tr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模块一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学习指南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什么是PBL教学方法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PBL教学的常见形式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模块二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PBL课程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交叉学科PBL课程设计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梳理预习材料和知识点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制定小组项目方向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点评小组项目成果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模块三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助教辅导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对知识点进行查漏补缺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跟进小组项目调研进度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指导小组展示项目成果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模块四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未来展望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升学与就业方向展望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个人规划及发展建议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" w:hRule="atLeast"/>
        </w:trPr>
        <w:tc>
          <w:tcPr>
            <w:tcW w:w="6693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总课时</w:t>
            </w:r>
          </w:p>
        </w:tc>
        <w:tc>
          <w:tcPr>
            <w:tcW w:w="188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</w:tbl>
    <w:p>
      <w:pPr>
        <w:pStyle w:val="2"/>
        <w:spacing w:before="240" w:beforeLines="100" w:after="240" w:afterLines="100"/>
        <w:ind w:left="1140" w:hanging="720"/>
        <w:jc w:val="center"/>
        <w:rPr>
          <w:rFonts w:cstheme="minorBidi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课程模块内容</w:t>
      </w:r>
    </w:p>
    <w:bookmarkEnd w:id="0"/>
    <w:p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footerReference r:id="rId4" w:type="even"/>
          <w:pgSz w:w="11905" w:h="16840"/>
          <w:pgMar w:top="1440" w:right="1800" w:bottom="1440" w:left="1800" w:header="720" w:footer="720" w:gutter="0"/>
          <w:cols w:space="720" w:num="1"/>
        </w:sectPr>
      </w:pPr>
    </w:p>
    <w:p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课程时间安排</w:t>
      </w:r>
    </w:p>
    <w:tbl>
      <w:tblPr>
        <w:tblStyle w:val="6"/>
        <w:tblW w:w="8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2"/>
        <w:gridCol w:w="1217"/>
        <w:gridCol w:w="4025"/>
        <w:gridCol w:w="1244"/>
      </w:tblGrid>
      <w:tr>
        <w:trPr>
          <w:trHeight w:val="924" w:hRule="atLeast"/>
          <w:jc w:val="center"/>
        </w:trPr>
        <w:tc>
          <w:tcPr>
            <w:tcW w:w="185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周期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课程内容设置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第一周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学习指南、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PBL课程和助教辅导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7.17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什么是PBL教学方法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7.18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PBL教学的常见形式</w:t>
            </w:r>
          </w:p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1995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7.19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教授课-1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交叉学科PBL课程设计及知识点学习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7.21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助教课-1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7.22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教授课-2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制定小组项目方向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第二周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PBL课程和助教辅导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7.24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助教课-2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7.25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教授课-3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交叉学科课程知识学习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1995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7.26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助教课-3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知识点查漏补缺&amp;跟进小组项目调研进度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7.29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教授课-4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互动与项目设计跟进答疑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第三周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PBL课程和助教辅导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7.31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助教课-4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教授课-5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交叉学科课程知识点学习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助教课-5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教授课-6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交叉学科课程知识点学习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1995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助教课-6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知识点查漏补缺&amp;指导小组项目成果展示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教授课-7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教授点评小组项目成果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第四周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未来展望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升学与就业方向展望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个人规划及发展建议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964" w:hRule="atLeast"/>
          <w:jc w:val="center"/>
        </w:trPr>
        <w:tc>
          <w:tcPr>
            <w:tcW w:w="185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总课时</w:t>
            </w:r>
          </w:p>
        </w:tc>
        <w:tc>
          <w:tcPr>
            <w:tcW w:w="5242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</w:tbl>
    <w:p>
      <w:pPr>
        <w:pStyle w:val="3"/>
        <w:jc w:val="both"/>
        <w:rPr>
          <w:rFonts w:hint="eastAsia"/>
        </w:rPr>
      </w:pPr>
    </w:p>
    <w:sectPr>
      <w:footerReference r:id="rId5" w:type="default"/>
      <w:pgSz w:w="11905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1417587394"/>
      <w:docPartObj>
        <w:docPartGallery w:val="AutoText"/>
      </w:docPartObj>
    </w:sdtPr>
    <w:sdtEndPr>
      <w:rPr>
        <w:rStyle w:val="8"/>
      </w:rPr>
    </w:sdtEndPr>
    <w:sdtContent>
      <w:p>
        <w:pPr>
          <w:pStyle w:val="4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3</w:t>
        </w:r>
        <w:r>
          <w:rPr>
            <w:rStyle w:val="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1493839066"/>
      <w:docPartObj>
        <w:docPartGallery w:val="AutoText"/>
      </w:docPartObj>
    </w:sdtPr>
    <w:sdtEndPr>
      <w:rPr>
        <w:rStyle w:val="8"/>
      </w:rPr>
    </w:sdtEndPr>
    <w:sdtContent>
      <w:p>
        <w:pPr>
          <w:pStyle w:val="4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3</w:t>
        </w:r>
        <w:r>
          <w:rPr>
            <w:rStyle w:val="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343003072"/>
      <w:docPartObj>
        <w:docPartGallery w:val="AutoText"/>
      </w:docPartObj>
    </w:sdtPr>
    <w:sdtEndPr>
      <w:rPr>
        <w:rStyle w:val="8"/>
      </w:rPr>
    </w:sdtEndPr>
    <w:sdtContent>
      <w:p>
        <w:pPr>
          <w:pStyle w:val="4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7</w:t>
        </w:r>
        <w:r>
          <w:rPr>
            <w:rStyle w:val="8"/>
          </w:rPr>
          <w:fldChar w:fldCharType="end"/>
        </w:r>
        <w:r>
          <w:rPr>
            <w:rStyle w:val="8"/>
          </w:rPr>
          <w:t xml:space="preserve"> / 12</w:t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73"/>
    <w:rsid w:val="00296055"/>
    <w:rsid w:val="00A87473"/>
    <w:rsid w:val="00A9032A"/>
    <w:rsid w:val="00F23939"/>
    <w:rsid w:val="5FB7C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  <w:style w:type="paragraph" w:styleId="3">
    <w:name w:val="annotation text"/>
    <w:basedOn w:val="1"/>
    <w:link w:val="10"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nhideWhenUsed/>
    <w:uiPriority w:val="99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文字 字符"/>
    <w:basedOn w:val="7"/>
    <w:link w:val="3"/>
    <w:uiPriority w:val="99"/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526</Words>
  <Characters>3002</Characters>
  <Lines>25</Lines>
  <Paragraphs>7</Paragraphs>
  <TotalTime>48</TotalTime>
  <ScaleCrop>false</ScaleCrop>
  <LinksUpToDate>false</LinksUpToDate>
  <CharactersWithSpaces>3521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2023-05-30T17:42:00Z</dcterms:created>
  <dc:creator>Gregg Shen</dc:creator>
  <cp:lastModifiedBy>李炜</cp:lastModifiedBy>
  <dcterms:modified xsi:type="dcterms:W3CDTF">2023-06-15T19:50:56Z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815AB6F9F1D8F19C20FB8A643F1FCB75_42</vt:lpwstr>
  </property>
</Properties>
</file>